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15A" w:rsidRPr="008A215A" w:rsidRDefault="008A215A" w:rsidP="008A215A">
      <w:pPr>
        <w:spacing w:line="600" w:lineRule="exact"/>
        <w:rPr>
          <w:rFonts w:ascii="仿宋" w:eastAsia="仿宋" w:hAnsi="仿宋" w:hint="eastAsia"/>
          <w:sz w:val="32"/>
          <w:szCs w:val="32"/>
        </w:rPr>
      </w:pPr>
      <w:r>
        <w:rPr>
          <w:rFonts w:ascii="仿宋" w:eastAsia="仿宋" w:hAnsi="仿宋" w:hint="eastAsia"/>
          <w:sz w:val="32"/>
          <w:szCs w:val="32"/>
        </w:rPr>
        <w:t>附件：</w:t>
      </w:r>
      <w:r>
        <w:rPr>
          <w:rFonts w:ascii="仿宋" w:eastAsia="仿宋" w:hAnsi="仿宋" w:hint="eastAsia"/>
          <w:sz w:val="32"/>
          <w:szCs w:val="32"/>
        </w:rPr>
        <w:t>国际仲裁研讨会完整议程</w:t>
      </w:r>
    </w:p>
    <w:tbl>
      <w:tblPr>
        <w:tblStyle w:val="KWTable"/>
        <w:tblW w:w="9363" w:type="dxa"/>
        <w:jc w:val="center"/>
        <w:tblInd w:w="0" w:type="dxa"/>
        <w:tblLook w:val="04A0" w:firstRow="1" w:lastRow="0" w:firstColumn="1" w:lastColumn="0" w:noHBand="0" w:noVBand="1"/>
      </w:tblPr>
      <w:tblGrid>
        <w:gridCol w:w="1418"/>
        <w:gridCol w:w="2126"/>
        <w:gridCol w:w="2835"/>
        <w:gridCol w:w="2984"/>
      </w:tblGrid>
      <w:tr w:rsidR="008A215A" w:rsidRPr="00DE68B3" w:rsidTr="008A215A">
        <w:trPr>
          <w:cnfStyle w:val="100000000000" w:firstRow="1" w:lastRow="0" w:firstColumn="0" w:lastColumn="0" w:oddVBand="0" w:evenVBand="0" w:oddHBand="0" w:evenHBand="0" w:firstRowFirstColumn="0" w:firstRowLastColumn="0" w:lastRowFirstColumn="0" w:lastRowLastColumn="0"/>
          <w:jc w:val="center"/>
        </w:trPr>
        <w:tc>
          <w:tcPr>
            <w:tcW w:w="1418" w:type="dxa"/>
          </w:tcPr>
          <w:p w:rsidR="008A215A" w:rsidRPr="00DE68B3" w:rsidRDefault="008A215A" w:rsidP="0081011C">
            <w:pPr>
              <w:pStyle w:val="KWBodytext"/>
              <w:adjustRightInd w:val="0"/>
              <w:snapToGrid w:val="0"/>
              <w:spacing w:before="0" w:after="0" w:line="240" w:lineRule="auto"/>
              <w:contextualSpacing w:val="0"/>
              <w:jc w:val="center"/>
              <w:rPr>
                <w:rFonts w:ascii="仿宋" w:eastAsia="仿宋" w:hAnsi="仿宋"/>
                <w:sz w:val="28"/>
                <w:szCs w:val="32"/>
                <w:lang w:eastAsia="zh-CN"/>
              </w:rPr>
            </w:pPr>
            <w:r w:rsidRPr="00DE68B3">
              <w:rPr>
                <w:rFonts w:ascii="仿宋" w:eastAsia="仿宋" w:hAnsi="仿宋"/>
                <w:sz w:val="28"/>
                <w:szCs w:val="32"/>
                <w:lang w:eastAsia="zh-CN"/>
              </w:rPr>
              <w:t>时间</w:t>
            </w:r>
          </w:p>
        </w:tc>
        <w:tc>
          <w:tcPr>
            <w:tcW w:w="2126" w:type="dxa"/>
          </w:tcPr>
          <w:p w:rsidR="008A215A" w:rsidRPr="00DE68B3" w:rsidRDefault="008A215A" w:rsidP="0081011C">
            <w:pPr>
              <w:pStyle w:val="KWBodytext"/>
              <w:adjustRightInd w:val="0"/>
              <w:snapToGrid w:val="0"/>
              <w:spacing w:before="0" w:after="0" w:line="240" w:lineRule="auto"/>
              <w:contextualSpacing w:val="0"/>
              <w:jc w:val="center"/>
              <w:rPr>
                <w:rFonts w:ascii="仿宋" w:eastAsia="仿宋" w:hAnsi="仿宋"/>
                <w:sz w:val="28"/>
                <w:szCs w:val="32"/>
                <w:lang w:eastAsia="zh-CN"/>
              </w:rPr>
            </w:pPr>
            <w:r w:rsidRPr="00DE68B3">
              <w:rPr>
                <w:rFonts w:ascii="仿宋" w:eastAsia="仿宋" w:hAnsi="仿宋"/>
                <w:sz w:val="28"/>
                <w:szCs w:val="32"/>
                <w:lang w:eastAsia="zh-CN"/>
              </w:rPr>
              <w:t>环节</w:t>
            </w:r>
          </w:p>
        </w:tc>
        <w:tc>
          <w:tcPr>
            <w:tcW w:w="2835" w:type="dxa"/>
          </w:tcPr>
          <w:p w:rsidR="008A215A" w:rsidRPr="00DE68B3" w:rsidRDefault="008A215A" w:rsidP="0081011C">
            <w:pPr>
              <w:pStyle w:val="KWBodytext"/>
              <w:adjustRightInd w:val="0"/>
              <w:snapToGrid w:val="0"/>
              <w:spacing w:before="0" w:after="0" w:line="240" w:lineRule="auto"/>
              <w:contextualSpacing w:val="0"/>
              <w:jc w:val="center"/>
              <w:rPr>
                <w:rFonts w:ascii="仿宋" w:eastAsia="仿宋" w:hAnsi="仿宋"/>
                <w:sz w:val="28"/>
                <w:szCs w:val="32"/>
                <w:lang w:eastAsia="zh-CN"/>
              </w:rPr>
            </w:pPr>
            <w:r w:rsidRPr="00DE68B3">
              <w:rPr>
                <w:rFonts w:ascii="仿宋" w:eastAsia="仿宋" w:hAnsi="仿宋"/>
                <w:sz w:val="28"/>
                <w:szCs w:val="32"/>
                <w:lang w:eastAsia="zh-CN"/>
              </w:rPr>
              <w:t>内容</w:t>
            </w:r>
          </w:p>
        </w:tc>
        <w:tc>
          <w:tcPr>
            <w:tcW w:w="2984" w:type="dxa"/>
          </w:tcPr>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参与者</w:t>
            </w:r>
          </w:p>
        </w:tc>
      </w:tr>
      <w:tr w:rsidR="008A215A" w:rsidRPr="00DE68B3" w:rsidTr="008A215A">
        <w:trPr>
          <w:jc w:val="center"/>
        </w:trPr>
        <w:tc>
          <w:tcPr>
            <w:tcW w:w="1418" w:type="dxa"/>
          </w:tcPr>
          <w:p w:rsidR="008A215A"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8</w:t>
            </w:r>
            <w:r>
              <w:rPr>
                <w:rFonts w:ascii="仿宋" w:eastAsia="仿宋" w:hAnsi="仿宋" w:hint="eastAsia"/>
                <w:sz w:val="28"/>
                <w:szCs w:val="32"/>
                <w:lang w:eastAsia="zh-CN"/>
              </w:rPr>
              <w:t>：</w:t>
            </w:r>
            <w:r w:rsidRPr="00DE68B3">
              <w:rPr>
                <w:rFonts w:ascii="仿宋" w:eastAsia="仿宋" w:hAnsi="仿宋"/>
                <w:sz w:val="28"/>
                <w:szCs w:val="32"/>
                <w:lang w:eastAsia="zh-CN"/>
              </w:rPr>
              <w:t>30—</w:t>
            </w:r>
          </w:p>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r>
              <w:rPr>
                <w:rFonts w:ascii="仿宋" w:eastAsia="仿宋" w:hAnsi="仿宋" w:hint="eastAsia"/>
                <w:sz w:val="28"/>
                <w:szCs w:val="32"/>
                <w:lang w:eastAsia="zh-CN"/>
              </w:rPr>
              <w:t>9：</w:t>
            </w:r>
            <w:r w:rsidRPr="00DE68B3">
              <w:rPr>
                <w:rFonts w:ascii="仿宋" w:eastAsia="仿宋" w:hAnsi="仿宋"/>
                <w:sz w:val="28"/>
                <w:szCs w:val="32"/>
                <w:lang w:eastAsia="zh-CN"/>
              </w:rPr>
              <w:t>00</w:t>
            </w:r>
          </w:p>
        </w:tc>
        <w:tc>
          <w:tcPr>
            <w:tcW w:w="2126" w:type="dxa"/>
          </w:tcPr>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签到</w:t>
            </w:r>
          </w:p>
        </w:tc>
        <w:tc>
          <w:tcPr>
            <w:tcW w:w="2835" w:type="dxa"/>
          </w:tcPr>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p>
        </w:tc>
        <w:tc>
          <w:tcPr>
            <w:tcW w:w="2984" w:type="dxa"/>
          </w:tcPr>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p>
        </w:tc>
      </w:tr>
      <w:tr w:rsidR="008A215A" w:rsidRPr="00DE68B3" w:rsidTr="008A215A">
        <w:trPr>
          <w:jc w:val="center"/>
        </w:trPr>
        <w:tc>
          <w:tcPr>
            <w:tcW w:w="1418" w:type="dxa"/>
          </w:tcPr>
          <w:p w:rsidR="008A215A"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9</w:t>
            </w:r>
            <w:r>
              <w:rPr>
                <w:rFonts w:ascii="仿宋" w:eastAsia="仿宋" w:hAnsi="仿宋" w:hint="eastAsia"/>
                <w:sz w:val="28"/>
                <w:szCs w:val="32"/>
                <w:lang w:eastAsia="zh-CN"/>
              </w:rPr>
              <w:t>：</w:t>
            </w:r>
            <w:r w:rsidRPr="00DE68B3">
              <w:rPr>
                <w:rFonts w:ascii="仿宋" w:eastAsia="仿宋" w:hAnsi="仿宋"/>
                <w:sz w:val="28"/>
                <w:szCs w:val="32"/>
                <w:lang w:eastAsia="zh-CN"/>
              </w:rPr>
              <w:t>00—</w:t>
            </w:r>
          </w:p>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9</w:t>
            </w:r>
            <w:r>
              <w:rPr>
                <w:rFonts w:ascii="仿宋" w:eastAsia="仿宋" w:hAnsi="仿宋" w:hint="eastAsia"/>
                <w:sz w:val="28"/>
                <w:szCs w:val="32"/>
                <w:lang w:eastAsia="zh-CN"/>
              </w:rPr>
              <w:t>：</w:t>
            </w:r>
            <w:r w:rsidRPr="00DE68B3">
              <w:rPr>
                <w:rFonts w:ascii="仿宋" w:eastAsia="仿宋" w:hAnsi="仿宋"/>
                <w:sz w:val="28"/>
                <w:szCs w:val="32"/>
                <w:lang w:eastAsia="zh-CN"/>
              </w:rPr>
              <w:t>15</w:t>
            </w:r>
          </w:p>
        </w:tc>
        <w:tc>
          <w:tcPr>
            <w:tcW w:w="2126" w:type="dxa"/>
          </w:tcPr>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开</w:t>
            </w:r>
            <w:bookmarkStart w:id="0" w:name="_GoBack"/>
            <w:bookmarkEnd w:id="0"/>
            <w:r w:rsidRPr="00DE68B3">
              <w:rPr>
                <w:rFonts w:ascii="仿宋" w:eastAsia="仿宋" w:hAnsi="仿宋"/>
                <w:sz w:val="28"/>
                <w:szCs w:val="32"/>
                <w:lang w:eastAsia="zh-CN"/>
              </w:rPr>
              <w:t>幕式</w:t>
            </w:r>
          </w:p>
        </w:tc>
        <w:tc>
          <w:tcPr>
            <w:tcW w:w="2835" w:type="dxa"/>
          </w:tcPr>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致欢迎词</w:t>
            </w:r>
          </w:p>
        </w:tc>
        <w:tc>
          <w:tcPr>
            <w:tcW w:w="2984" w:type="dxa"/>
          </w:tcPr>
          <w:p w:rsidR="008A215A" w:rsidRPr="00DE68B3" w:rsidRDefault="008A215A" w:rsidP="008A215A">
            <w:pPr>
              <w:pStyle w:val="KWBodytext"/>
              <w:numPr>
                <w:ilvl w:val="0"/>
                <w:numId w:val="2"/>
              </w:numPr>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深圳市律师协会领导</w:t>
            </w:r>
          </w:p>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p>
          <w:p w:rsidR="008A215A" w:rsidRPr="00DE68B3" w:rsidRDefault="008A215A" w:rsidP="008A215A">
            <w:pPr>
              <w:pStyle w:val="KWBodytext"/>
              <w:numPr>
                <w:ilvl w:val="0"/>
                <w:numId w:val="2"/>
              </w:numPr>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深圳国际仲裁院领导</w:t>
            </w:r>
          </w:p>
          <w:p w:rsidR="008A215A" w:rsidRPr="00DE68B3" w:rsidRDefault="008A215A" w:rsidP="0081011C">
            <w:pPr>
              <w:pStyle w:val="KWBodytext"/>
              <w:adjustRightInd w:val="0"/>
              <w:snapToGrid w:val="0"/>
              <w:spacing w:before="0" w:after="0" w:line="240" w:lineRule="auto"/>
              <w:ind w:left="420"/>
              <w:contextualSpacing w:val="0"/>
              <w:jc w:val="left"/>
              <w:rPr>
                <w:rFonts w:ascii="仿宋" w:eastAsia="仿宋" w:hAnsi="仿宋"/>
                <w:sz w:val="28"/>
                <w:szCs w:val="32"/>
                <w:lang w:eastAsia="zh-CN"/>
              </w:rPr>
            </w:pPr>
          </w:p>
          <w:p w:rsidR="008A215A" w:rsidRPr="001C7A6D" w:rsidRDefault="008A215A" w:rsidP="008A215A">
            <w:pPr>
              <w:pStyle w:val="KWBodytext"/>
              <w:numPr>
                <w:ilvl w:val="0"/>
                <w:numId w:val="2"/>
              </w:numPr>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叶</w:t>
            </w:r>
            <w:proofErr w:type="gramStart"/>
            <w:r w:rsidRPr="00DE68B3">
              <w:rPr>
                <w:rFonts w:ascii="仿宋" w:eastAsia="仿宋" w:hAnsi="仿宋"/>
                <w:sz w:val="28"/>
                <w:szCs w:val="32"/>
                <w:lang w:eastAsia="zh-CN"/>
              </w:rPr>
              <w:t>渌</w:t>
            </w:r>
            <w:proofErr w:type="gramEnd"/>
            <w:r w:rsidRPr="00DE68B3">
              <w:rPr>
                <w:rFonts w:ascii="仿宋" w:eastAsia="仿宋" w:hAnsi="仿宋"/>
                <w:sz w:val="28"/>
                <w:szCs w:val="32"/>
                <w:lang w:eastAsia="zh-CN"/>
              </w:rPr>
              <w:t>，深圳市律师协会国际与港澳台工作委员会顾问、IBA亚太仲裁委员会联席主席</w:t>
            </w:r>
          </w:p>
        </w:tc>
      </w:tr>
      <w:tr w:rsidR="008A215A" w:rsidRPr="00DE68B3" w:rsidTr="008A215A">
        <w:trPr>
          <w:jc w:val="center"/>
        </w:trPr>
        <w:tc>
          <w:tcPr>
            <w:tcW w:w="1418" w:type="dxa"/>
          </w:tcPr>
          <w:p w:rsidR="008A215A"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9</w:t>
            </w:r>
            <w:r>
              <w:rPr>
                <w:rFonts w:ascii="仿宋" w:eastAsia="仿宋" w:hAnsi="仿宋" w:hint="eastAsia"/>
                <w:sz w:val="28"/>
                <w:szCs w:val="32"/>
                <w:lang w:eastAsia="zh-CN"/>
              </w:rPr>
              <w:t>：</w:t>
            </w:r>
            <w:r w:rsidRPr="00DE68B3">
              <w:rPr>
                <w:rFonts w:ascii="仿宋" w:eastAsia="仿宋" w:hAnsi="仿宋"/>
                <w:sz w:val="28"/>
                <w:szCs w:val="32"/>
                <w:lang w:eastAsia="zh-CN"/>
              </w:rPr>
              <w:t>15—</w:t>
            </w:r>
          </w:p>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10</w:t>
            </w:r>
            <w:r>
              <w:rPr>
                <w:rFonts w:ascii="仿宋" w:eastAsia="仿宋" w:hAnsi="仿宋" w:hint="eastAsia"/>
                <w:sz w:val="28"/>
                <w:szCs w:val="32"/>
                <w:lang w:eastAsia="zh-CN"/>
              </w:rPr>
              <w:t>：</w:t>
            </w:r>
            <w:r w:rsidRPr="00DE68B3">
              <w:rPr>
                <w:rFonts w:ascii="仿宋" w:eastAsia="仿宋" w:hAnsi="仿宋"/>
                <w:sz w:val="28"/>
                <w:szCs w:val="32"/>
                <w:lang w:eastAsia="zh-CN"/>
              </w:rPr>
              <w:t>35</w:t>
            </w:r>
          </w:p>
        </w:tc>
        <w:tc>
          <w:tcPr>
            <w:tcW w:w="2126" w:type="dxa"/>
          </w:tcPr>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b/>
                <w:sz w:val="28"/>
                <w:szCs w:val="32"/>
                <w:lang w:eastAsia="zh-CN"/>
              </w:rPr>
              <w:t>环节</w:t>
            </w:r>
            <w:proofErr w:type="gramStart"/>
            <w:r w:rsidRPr="00DE68B3">
              <w:rPr>
                <w:rFonts w:ascii="仿宋" w:eastAsia="仿宋" w:hAnsi="仿宋"/>
                <w:b/>
                <w:sz w:val="28"/>
                <w:szCs w:val="32"/>
                <w:lang w:eastAsia="zh-CN"/>
              </w:rPr>
              <w:t>一</w:t>
            </w:r>
            <w:proofErr w:type="gramEnd"/>
            <w:r w:rsidRPr="00DE68B3">
              <w:rPr>
                <w:rFonts w:ascii="仿宋" w:eastAsia="仿宋" w:hAnsi="仿宋"/>
                <w:sz w:val="28"/>
                <w:szCs w:val="32"/>
                <w:lang w:eastAsia="zh-CN"/>
              </w:rPr>
              <w:t>：如何起草仲裁条款：《国际律师协会国际仲裁条款起草准则》</w:t>
            </w:r>
          </w:p>
        </w:tc>
        <w:tc>
          <w:tcPr>
            <w:tcW w:w="2835" w:type="dxa"/>
          </w:tcPr>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本环节将采用问答的形式。主持人会就《国际律师协会国际仲裁条款起草准则》向嘉宾提问。通过回答问题和讨论，嘉宾将说明应如何起草具有法律效力的国际仲裁条款，以及在起草过程中需要特别注意的常见错误。</w:t>
            </w:r>
          </w:p>
        </w:tc>
        <w:tc>
          <w:tcPr>
            <w:tcW w:w="2984" w:type="dxa"/>
          </w:tcPr>
          <w:p w:rsidR="008A215A" w:rsidRPr="00DE68B3" w:rsidRDefault="008A215A" w:rsidP="008A215A">
            <w:pPr>
              <w:pStyle w:val="KWBodytext"/>
              <w:numPr>
                <w:ilvl w:val="0"/>
                <w:numId w:val="3"/>
              </w:numPr>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主持人： 扬帆，香港城市大学法学院助理教授</w:t>
            </w:r>
          </w:p>
          <w:p w:rsidR="008A215A" w:rsidRPr="00DE68B3" w:rsidRDefault="008A215A" w:rsidP="0081011C">
            <w:pPr>
              <w:pStyle w:val="KWBodytext"/>
              <w:adjustRightInd w:val="0"/>
              <w:snapToGrid w:val="0"/>
              <w:spacing w:before="0" w:after="0" w:line="240" w:lineRule="auto"/>
              <w:ind w:left="420"/>
              <w:contextualSpacing w:val="0"/>
              <w:jc w:val="left"/>
              <w:rPr>
                <w:rFonts w:ascii="仿宋" w:eastAsia="仿宋" w:hAnsi="仿宋"/>
                <w:sz w:val="28"/>
                <w:szCs w:val="32"/>
                <w:lang w:eastAsia="zh-CN"/>
              </w:rPr>
            </w:pPr>
          </w:p>
          <w:p w:rsidR="008A215A" w:rsidRPr="001C7A6D" w:rsidRDefault="008A215A" w:rsidP="008A215A">
            <w:pPr>
              <w:pStyle w:val="KWBodytext"/>
              <w:numPr>
                <w:ilvl w:val="0"/>
                <w:numId w:val="1"/>
              </w:numPr>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嘉宾：Dinesh Dhillon，新加坡艾伦格禧律师事务所（Allen &amp; Gledhill）合伙人、IBA亚太仲裁委员会联席主席</w:t>
            </w:r>
          </w:p>
        </w:tc>
      </w:tr>
      <w:tr w:rsidR="008A215A" w:rsidRPr="00DE68B3" w:rsidTr="008A215A">
        <w:trPr>
          <w:jc w:val="center"/>
        </w:trPr>
        <w:tc>
          <w:tcPr>
            <w:tcW w:w="1418" w:type="dxa"/>
          </w:tcPr>
          <w:p w:rsidR="008A215A"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10</w:t>
            </w:r>
            <w:r>
              <w:rPr>
                <w:rFonts w:ascii="仿宋" w:eastAsia="仿宋" w:hAnsi="仿宋" w:hint="eastAsia"/>
                <w:sz w:val="28"/>
                <w:szCs w:val="32"/>
                <w:lang w:eastAsia="zh-CN"/>
              </w:rPr>
              <w:t>：</w:t>
            </w:r>
            <w:r w:rsidRPr="00DE68B3">
              <w:rPr>
                <w:rFonts w:ascii="仿宋" w:eastAsia="仿宋" w:hAnsi="仿宋"/>
                <w:sz w:val="28"/>
                <w:szCs w:val="32"/>
                <w:lang w:eastAsia="zh-CN"/>
              </w:rPr>
              <w:t>35—</w:t>
            </w:r>
          </w:p>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10</w:t>
            </w:r>
            <w:r>
              <w:rPr>
                <w:rFonts w:ascii="仿宋" w:eastAsia="仿宋" w:hAnsi="仿宋" w:hint="eastAsia"/>
                <w:sz w:val="28"/>
                <w:szCs w:val="32"/>
                <w:lang w:eastAsia="zh-CN"/>
              </w:rPr>
              <w:t>：</w:t>
            </w:r>
            <w:r w:rsidRPr="00DE68B3">
              <w:rPr>
                <w:rFonts w:ascii="仿宋" w:eastAsia="仿宋" w:hAnsi="仿宋"/>
                <w:sz w:val="28"/>
                <w:szCs w:val="32"/>
                <w:lang w:eastAsia="zh-CN"/>
              </w:rPr>
              <w:t xml:space="preserve">50 </w:t>
            </w:r>
          </w:p>
        </w:tc>
        <w:tc>
          <w:tcPr>
            <w:tcW w:w="2126" w:type="dxa"/>
          </w:tcPr>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proofErr w:type="gramStart"/>
            <w:r w:rsidRPr="00DE68B3">
              <w:rPr>
                <w:rFonts w:ascii="仿宋" w:eastAsia="仿宋" w:hAnsi="仿宋"/>
                <w:sz w:val="28"/>
                <w:szCs w:val="32"/>
                <w:lang w:eastAsia="zh-CN"/>
              </w:rPr>
              <w:t>茶歇</w:t>
            </w:r>
            <w:proofErr w:type="gramEnd"/>
          </w:p>
        </w:tc>
        <w:tc>
          <w:tcPr>
            <w:tcW w:w="2835" w:type="dxa"/>
          </w:tcPr>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p>
        </w:tc>
        <w:tc>
          <w:tcPr>
            <w:tcW w:w="2984" w:type="dxa"/>
          </w:tcPr>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p>
        </w:tc>
      </w:tr>
      <w:tr w:rsidR="008A215A" w:rsidRPr="00DE68B3" w:rsidTr="008A215A">
        <w:trPr>
          <w:jc w:val="center"/>
        </w:trPr>
        <w:tc>
          <w:tcPr>
            <w:tcW w:w="1418" w:type="dxa"/>
          </w:tcPr>
          <w:p w:rsidR="008A215A"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10</w:t>
            </w:r>
            <w:r>
              <w:rPr>
                <w:rFonts w:ascii="仿宋" w:eastAsia="仿宋" w:hAnsi="仿宋" w:hint="eastAsia"/>
                <w:sz w:val="28"/>
                <w:szCs w:val="32"/>
                <w:lang w:eastAsia="zh-CN"/>
              </w:rPr>
              <w:t>：</w:t>
            </w:r>
            <w:r w:rsidRPr="00DE68B3">
              <w:rPr>
                <w:rFonts w:ascii="仿宋" w:eastAsia="仿宋" w:hAnsi="仿宋"/>
                <w:sz w:val="28"/>
                <w:szCs w:val="32"/>
                <w:lang w:eastAsia="zh-CN"/>
              </w:rPr>
              <w:t>50—</w:t>
            </w:r>
          </w:p>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12</w:t>
            </w:r>
            <w:r>
              <w:rPr>
                <w:rFonts w:ascii="仿宋" w:eastAsia="仿宋" w:hAnsi="仿宋" w:hint="eastAsia"/>
                <w:sz w:val="28"/>
                <w:szCs w:val="32"/>
                <w:lang w:eastAsia="zh-CN"/>
              </w:rPr>
              <w:t>：</w:t>
            </w:r>
            <w:r w:rsidRPr="00DE68B3">
              <w:rPr>
                <w:rFonts w:ascii="仿宋" w:eastAsia="仿宋" w:hAnsi="仿宋"/>
                <w:sz w:val="28"/>
                <w:szCs w:val="32"/>
                <w:lang w:eastAsia="zh-CN"/>
              </w:rPr>
              <w:t>10</w:t>
            </w:r>
          </w:p>
        </w:tc>
        <w:tc>
          <w:tcPr>
            <w:tcW w:w="2126" w:type="dxa"/>
          </w:tcPr>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b/>
                <w:sz w:val="28"/>
                <w:szCs w:val="32"/>
                <w:lang w:eastAsia="zh-CN"/>
              </w:rPr>
              <w:t>环节二</w:t>
            </w:r>
            <w:r w:rsidRPr="00DE68B3">
              <w:rPr>
                <w:rFonts w:ascii="仿宋" w:eastAsia="仿宋" w:hAnsi="仿宋"/>
                <w:sz w:val="28"/>
                <w:szCs w:val="32"/>
                <w:lang w:eastAsia="zh-CN"/>
              </w:rPr>
              <w:t>：在国际仲裁案件中如何取证：《国际律师协会国际仲裁取证规则》</w:t>
            </w:r>
          </w:p>
        </w:tc>
        <w:tc>
          <w:tcPr>
            <w:tcW w:w="2835" w:type="dxa"/>
          </w:tcPr>
          <w:p w:rsidR="008A215A" w:rsidRPr="00AB4CC8" w:rsidRDefault="008A215A" w:rsidP="0081011C">
            <w:pPr>
              <w:pStyle w:val="KWBodytext"/>
              <w:adjustRightInd w:val="0"/>
              <w:snapToGrid w:val="0"/>
              <w:spacing w:before="0" w:after="0" w:line="240" w:lineRule="auto"/>
              <w:contextualSpacing w:val="0"/>
              <w:jc w:val="left"/>
              <w:rPr>
                <w:rFonts w:ascii="仿宋" w:eastAsia="仿宋" w:hAnsi="仿宋" w:hint="eastAsia"/>
                <w:sz w:val="28"/>
                <w:szCs w:val="32"/>
                <w:lang w:eastAsia="zh-CN"/>
              </w:rPr>
            </w:pPr>
            <w:r w:rsidRPr="00DE68B3">
              <w:rPr>
                <w:rFonts w:ascii="仿宋" w:eastAsia="仿宋" w:hAnsi="仿宋"/>
                <w:sz w:val="28"/>
                <w:szCs w:val="32"/>
                <w:lang w:eastAsia="zh-CN"/>
              </w:rPr>
              <w:t>本环节将采用问答的形式。主持人会就《国际律师协会国际仲裁取证规则》向嘉宾提问。通过回答问题和讨论，嘉宾将介绍如何在遵守IBA取证规则的前提下进行国际仲裁案件的取</w:t>
            </w:r>
            <w:r w:rsidRPr="00DE68B3">
              <w:rPr>
                <w:rFonts w:ascii="仿宋" w:eastAsia="仿宋" w:hAnsi="仿宋"/>
                <w:sz w:val="28"/>
                <w:szCs w:val="32"/>
                <w:lang w:eastAsia="zh-CN"/>
              </w:rPr>
              <w:lastRenderedPageBreak/>
              <w:t>证，以及在取证过程中需要特别注意的地方。</w:t>
            </w:r>
          </w:p>
        </w:tc>
        <w:tc>
          <w:tcPr>
            <w:tcW w:w="2984" w:type="dxa"/>
          </w:tcPr>
          <w:p w:rsidR="008A215A" w:rsidRPr="00DE68B3" w:rsidRDefault="008A215A" w:rsidP="008A215A">
            <w:pPr>
              <w:pStyle w:val="KWBodytext"/>
              <w:numPr>
                <w:ilvl w:val="0"/>
                <w:numId w:val="1"/>
              </w:numPr>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lastRenderedPageBreak/>
              <w:t xml:space="preserve">主持人：谢卫民，深圳国际仲裁院案件管理处处长 </w:t>
            </w:r>
          </w:p>
          <w:p w:rsidR="008A215A" w:rsidRPr="00DE68B3" w:rsidRDefault="008A215A" w:rsidP="0081011C">
            <w:pPr>
              <w:pStyle w:val="KWBodytext"/>
              <w:adjustRightInd w:val="0"/>
              <w:snapToGrid w:val="0"/>
              <w:spacing w:before="0" w:after="0" w:line="240" w:lineRule="auto"/>
              <w:ind w:left="420"/>
              <w:contextualSpacing w:val="0"/>
              <w:jc w:val="left"/>
              <w:rPr>
                <w:rFonts w:ascii="仿宋" w:eastAsia="仿宋" w:hAnsi="仿宋"/>
                <w:sz w:val="28"/>
                <w:szCs w:val="32"/>
                <w:lang w:eastAsia="zh-CN"/>
              </w:rPr>
            </w:pPr>
          </w:p>
          <w:p w:rsidR="008A215A" w:rsidRPr="000731B5" w:rsidRDefault="008A215A" w:rsidP="008A215A">
            <w:pPr>
              <w:pStyle w:val="KWBodytext"/>
              <w:numPr>
                <w:ilvl w:val="0"/>
                <w:numId w:val="1"/>
              </w:numPr>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嘉宾：叶</w:t>
            </w:r>
            <w:proofErr w:type="gramStart"/>
            <w:r w:rsidRPr="00DE68B3">
              <w:rPr>
                <w:rFonts w:ascii="仿宋" w:eastAsia="仿宋" w:hAnsi="仿宋"/>
                <w:sz w:val="28"/>
                <w:szCs w:val="32"/>
                <w:lang w:eastAsia="zh-CN"/>
              </w:rPr>
              <w:t>渌</w:t>
            </w:r>
            <w:proofErr w:type="gramEnd"/>
            <w:r w:rsidRPr="00DE68B3">
              <w:rPr>
                <w:rFonts w:ascii="仿宋" w:eastAsia="仿宋" w:hAnsi="仿宋"/>
                <w:sz w:val="28"/>
                <w:szCs w:val="32"/>
                <w:lang w:eastAsia="zh-CN"/>
              </w:rPr>
              <w:t>，深圳市律师协会国际与港澳台工作委员会顾问、IBA亚太仲裁委员会联席主席</w:t>
            </w:r>
          </w:p>
        </w:tc>
      </w:tr>
      <w:tr w:rsidR="008A215A" w:rsidRPr="00DE68B3" w:rsidTr="008A215A">
        <w:trPr>
          <w:jc w:val="center"/>
        </w:trPr>
        <w:tc>
          <w:tcPr>
            <w:tcW w:w="1418" w:type="dxa"/>
          </w:tcPr>
          <w:p w:rsidR="008A215A"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12</w:t>
            </w:r>
            <w:r>
              <w:rPr>
                <w:rFonts w:ascii="仿宋" w:eastAsia="仿宋" w:hAnsi="仿宋" w:hint="eastAsia"/>
                <w:sz w:val="28"/>
                <w:szCs w:val="32"/>
                <w:lang w:eastAsia="zh-CN"/>
              </w:rPr>
              <w:t>：</w:t>
            </w:r>
            <w:r w:rsidRPr="00DE68B3">
              <w:rPr>
                <w:rFonts w:ascii="仿宋" w:eastAsia="仿宋" w:hAnsi="仿宋"/>
                <w:sz w:val="28"/>
                <w:szCs w:val="32"/>
                <w:lang w:eastAsia="zh-CN"/>
              </w:rPr>
              <w:t>10—</w:t>
            </w:r>
          </w:p>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14</w:t>
            </w:r>
            <w:r>
              <w:rPr>
                <w:rFonts w:ascii="仿宋" w:eastAsia="仿宋" w:hAnsi="仿宋" w:hint="eastAsia"/>
                <w:sz w:val="28"/>
                <w:szCs w:val="32"/>
                <w:lang w:eastAsia="zh-CN"/>
              </w:rPr>
              <w:t>：</w:t>
            </w:r>
            <w:r w:rsidRPr="00DE68B3">
              <w:rPr>
                <w:rFonts w:ascii="仿宋" w:eastAsia="仿宋" w:hAnsi="仿宋"/>
                <w:sz w:val="28"/>
                <w:szCs w:val="32"/>
                <w:lang w:eastAsia="zh-CN"/>
              </w:rPr>
              <w:t xml:space="preserve">00 </w:t>
            </w:r>
          </w:p>
        </w:tc>
        <w:tc>
          <w:tcPr>
            <w:tcW w:w="2126" w:type="dxa"/>
          </w:tcPr>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午餐</w:t>
            </w:r>
          </w:p>
        </w:tc>
        <w:tc>
          <w:tcPr>
            <w:tcW w:w="2835" w:type="dxa"/>
          </w:tcPr>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p>
        </w:tc>
        <w:tc>
          <w:tcPr>
            <w:tcW w:w="2984" w:type="dxa"/>
          </w:tcPr>
          <w:p w:rsidR="008A215A" w:rsidRPr="00DE68B3" w:rsidRDefault="008A215A" w:rsidP="0081011C">
            <w:pPr>
              <w:pStyle w:val="KWBodytext"/>
              <w:adjustRightInd w:val="0"/>
              <w:snapToGrid w:val="0"/>
              <w:spacing w:before="0" w:after="0" w:line="240" w:lineRule="auto"/>
              <w:ind w:left="420"/>
              <w:contextualSpacing w:val="0"/>
              <w:jc w:val="left"/>
              <w:rPr>
                <w:rFonts w:ascii="仿宋" w:eastAsia="仿宋" w:hAnsi="仿宋"/>
                <w:sz w:val="28"/>
                <w:szCs w:val="32"/>
                <w:lang w:eastAsia="zh-CN"/>
              </w:rPr>
            </w:pPr>
          </w:p>
        </w:tc>
      </w:tr>
      <w:tr w:rsidR="008A215A" w:rsidRPr="00DE68B3" w:rsidTr="008A215A">
        <w:trPr>
          <w:jc w:val="center"/>
        </w:trPr>
        <w:tc>
          <w:tcPr>
            <w:tcW w:w="1418" w:type="dxa"/>
          </w:tcPr>
          <w:p w:rsidR="008A215A"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14</w:t>
            </w:r>
            <w:r>
              <w:rPr>
                <w:rFonts w:ascii="仿宋" w:eastAsia="仿宋" w:hAnsi="仿宋" w:hint="eastAsia"/>
                <w:sz w:val="28"/>
                <w:szCs w:val="32"/>
                <w:lang w:eastAsia="zh-CN"/>
              </w:rPr>
              <w:t>：</w:t>
            </w:r>
            <w:r w:rsidRPr="00DE68B3">
              <w:rPr>
                <w:rFonts w:ascii="仿宋" w:eastAsia="仿宋" w:hAnsi="仿宋"/>
                <w:sz w:val="28"/>
                <w:szCs w:val="32"/>
                <w:lang w:eastAsia="zh-CN"/>
              </w:rPr>
              <w:t>00—</w:t>
            </w:r>
          </w:p>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15</w:t>
            </w:r>
            <w:r>
              <w:rPr>
                <w:rFonts w:ascii="仿宋" w:eastAsia="仿宋" w:hAnsi="仿宋" w:hint="eastAsia"/>
                <w:sz w:val="28"/>
                <w:szCs w:val="32"/>
                <w:lang w:eastAsia="zh-CN"/>
              </w:rPr>
              <w:t>：</w:t>
            </w:r>
            <w:r w:rsidRPr="00DE68B3">
              <w:rPr>
                <w:rFonts w:ascii="仿宋" w:eastAsia="仿宋" w:hAnsi="仿宋"/>
                <w:sz w:val="28"/>
                <w:szCs w:val="32"/>
                <w:lang w:eastAsia="zh-CN"/>
              </w:rPr>
              <w:t xml:space="preserve">20 </w:t>
            </w:r>
          </w:p>
        </w:tc>
        <w:tc>
          <w:tcPr>
            <w:tcW w:w="2126" w:type="dxa"/>
          </w:tcPr>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b/>
                <w:sz w:val="28"/>
                <w:szCs w:val="32"/>
                <w:lang w:eastAsia="zh-CN"/>
              </w:rPr>
              <w:t>环节三</w:t>
            </w:r>
            <w:r w:rsidRPr="00DE68B3">
              <w:rPr>
                <w:rFonts w:ascii="仿宋" w:eastAsia="仿宋" w:hAnsi="仿宋"/>
                <w:sz w:val="28"/>
                <w:szCs w:val="32"/>
                <w:lang w:eastAsia="zh-CN"/>
              </w:rPr>
              <w:t>：如何在国际仲裁中体现专业性：《国际律师协会国际仲裁当事人代理指引》</w:t>
            </w:r>
          </w:p>
        </w:tc>
        <w:tc>
          <w:tcPr>
            <w:tcW w:w="2835" w:type="dxa"/>
          </w:tcPr>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本环节将采用问答的形式。主持人会就《国际律师协会国际仲裁当事人代理指引》向嘉宾提问。通过回答问题和讨论，嘉宾将介绍国际仲裁对律师代理行为的规范要求，以及实践中常见的相关问题。</w:t>
            </w:r>
          </w:p>
        </w:tc>
        <w:tc>
          <w:tcPr>
            <w:tcW w:w="2984" w:type="dxa"/>
          </w:tcPr>
          <w:p w:rsidR="008A215A" w:rsidRPr="00DE68B3" w:rsidRDefault="008A215A" w:rsidP="008A215A">
            <w:pPr>
              <w:pStyle w:val="KWBodytext"/>
              <w:numPr>
                <w:ilvl w:val="0"/>
                <w:numId w:val="4"/>
              </w:numPr>
              <w:adjustRightInd w:val="0"/>
              <w:snapToGrid w:val="0"/>
              <w:spacing w:before="0" w:after="0" w:line="240" w:lineRule="auto"/>
              <w:ind w:left="480" w:hanging="480"/>
              <w:contextualSpacing w:val="0"/>
              <w:jc w:val="left"/>
              <w:rPr>
                <w:rFonts w:ascii="仿宋" w:eastAsia="仿宋" w:hAnsi="仿宋"/>
                <w:sz w:val="28"/>
                <w:szCs w:val="32"/>
                <w:lang w:eastAsia="zh-CN"/>
              </w:rPr>
            </w:pPr>
            <w:r w:rsidRPr="00DE68B3">
              <w:rPr>
                <w:rFonts w:ascii="仿宋" w:eastAsia="仿宋" w:hAnsi="仿宋"/>
                <w:sz w:val="28"/>
                <w:szCs w:val="32"/>
                <w:lang w:eastAsia="zh-CN"/>
              </w:rPr>
              <w:t>主持人：陈鲁明，北京市君合（上海）律师事务所合伙人</w:t>
            </w:r>
          </w:p>
          <w:p w:rsidR="008A215A" w:rsidRPr="00DE68B3" w:rsidRDefault="008A215A" w:rsidP="0081011C">
            <w:pPr>
              <w:pStyle w:val="KWBodytext"/>
              <w:adjustRightInd w:val="0"/>
              <w:snapToGrid w:val="0"/>
              <w:spacing w:before="0" w:after="0" w:line="240" w:lineRule="auto"/>
              <w:ind w:left="420"/>
              <w:contextualSpacing w:val="0"/>
              <w:jc w:val="left"/>
              <w:rPr>
                <w:rFonts w:ascii="仿宋" w:eastAsia="仿宋" w:hAnsi="仿宋"/>
                <w:sz w:val="28"/>
                <w:szCs w:val="32"/>
                <w:lang w:eastAsia="zh-CN"/>
              </w:rPr>
            </w:pPr>
          </w:p>
          <w:p w:rsidR="008A215A" w:rsidRPr="00DE68B3" w:rsidRDefault="008A215A" w:rsidP="008A215A">
            <w:pPr>
              <w:pStyle w:val="KWBodytext"/>
              <w:numPr>
                <w:ilvl w:val="0"/>
                <w:numId w:val="4"/>
              </w:numPr>
              <w:adjustRightInd w:val="0"/>
              <w:snapToGrid w:val="0"/>
              <w:spacing w:before="0" w:after="0" w:line="240" w:lineRule="auto"/>
              <w:ind w:left="480" w:hanging="480"/>
              <w:contextualSpacing w:val="0"/>
              <w:jc w:val="left"/>
              <w:rPr>
                <w:rFonts w:ascii="仿宋" w:eastAsia="仿宋" w:hAnsi="仿宋"/>
                <w:sz w:val="28"/>
                <w:szCs w:val="32"/>
                <w:lang w:eastAsia="zh-CN"/>
              </w:rPr>
            </w:pPr>
            <w:r w:rsidRPr="00DE68B3">
              <w:rPr>
                <w:rFonts w:ascii="仿宋" w:eastAsia="仿宋" w:hAnsi="仿宋"/>
                <w:sz w:val="28"/>
                <w:szCs w:val="32"/>
                <w:lang w:eastAsia="zh-CN"/>
              </w:rPr>
              <w:t xml:space="preserve">嘉宾：杨应龙    </w:t>
            </w:r>
            <w:proofErr w:type="spellStart"/>
            <w:r w:rsidRPr="00DE68B3">
              <w:rPr>
                <w:rFonts w:ascii="仿宋" w:eastAsia="仿宋" w:hAnsi="仿宋"/>
                <w:sz w:val="28"/>
                <w:szCs w:val="32"/>
                <w:lang w:eastAsia="zh-CN"/>
              </w:rPr>
              <w:t>Ing</w:t>
            </w:r>
            <w:proofErr w:type="spellEnd"/>
            <w:r w:rsidRPr="00DE68B3">
              <w:rPr>
                <w:rFonts w:ascii="仿宋" w:eastAsia="仿宋" w:hAnsi="仿宋"/>
                <w:sz w:val="28"/>
                <w:szCs w:val="32"/>
                <w:lang w:eastAsia="zh-CN"/>
              </w:rPr>
              <w:t xml:space="preserve"> Loong Yang，美国瑞生律师事务所香港办事处合伙人</w:t>
            </w:r>
          </w:p>
        </w:tc>
      </w:tr>
      <w:tr w:rsidR="008A215A" w:rsidRPr="00DE68B3" w:rsidTr="008A215A">
        <w:trPr>
          <w:jc w:val="center"/>
        </w:trPr>
        <w:tc>
          <w:tcPr>
            <w:tcW w:w="1418" w:type="dxa"/>
          </w:tcPr>
          <w:p w:rsidR="008A215A"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15</w:t>
            </w:r>
            <w:r>
              <w:rPr>
                <w:rFonts w:ascii="仿宋" w:eastAsia="仿宋" w:hAnsi="仿宋" w:hint="eastAsia"/>
                <w:sz w:val="28"/>
                <w:szCs w:val="32"/>
                <w:lang w:eastAsia="zh-CN"/>
              </w:rPr>
              <w:t>：</w:t>
            </w:r>
            <w:r w:rsidRPr="00DE68B3">
              <w:rPr>
                <w:rFonts w:ascii="仿宋" w:eastAsia="仿宋" w:hAnsi="仿宋"/>
                <w:sz w:val="28"/>
                <w:szCs w:val="32"/>
                <w:lang w:eastAsia="zh-CN"/>
              </w:rPr>
              <w:t>20—</w:t>
            </w:r>
          </w:p>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15</w:t>
            </w:r>
            <w:r>
              <w:rPr>
                <w:rFonts w:ascii="仿宋" w:eastAsia="仿宋" w:hAnsi="仿宋" w:hint="eastAsia"/>
                <w:sz w:val="28"/>
                <w:szCs w:val="32"/>
                <w:lang w:eastAsia="zh-CN"/>
              </w:rPr>
              <w:t>：</w:t>
            </w:r>
            <w:r w:rsidRPr="00DE68B3">
              <w:rPr>
                <w:rFonts w:ascii="仿宋" w:eastAsia="仿宋" w:hAnsi="仿宋"/>
                <w:sz w:val="28"/>
                <w:szCs w:val="32"/>
                <w:lang w:eastAsia="zh-CN"/>
              </w:rPr>
              <w:t>30</w:t>
            </w:r>
          </w:p>
        </w:tc>
        <w:tc>
          <w:tcPr>
            <w:tcW w:w="2126" w:type="dxa"/>
          </w:tcPr>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proofErr w:type="gramStart"/>
            <w:r w:rsidRPr="00DE68B3">
              <w:rPr>
                <w:rFonts w:ascii="仿宋" w:eastAsia="仿宋" w:hAnsi="仿宋"/>
                <w:sz w:val="28"/>
                <w:szCs w:val="32"/>
                <w:lang w:eastAsia="zh-CN"/>
              </w:rPr>
              <w:t>茶歇</w:t>
            </w:r>
            <w:proofErr w:type="gramEnd"/>
          </w:p>
        </w:tc>
        <w:tc>
          <w:tcPr>
            <w:tcW w:w="2835" w:type="dxa"/>
          </w:tcPr>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p>
        </w:tc>
        <w:tc>
          <w:tcPr>
            <w:tcW w:w="2984" w:type="dxa"/>
          </w:tcPr>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p>
        </w:tc>
      </w:tr>
      <w:tr w:rsidR="008A215A" w:rsidRPr="00DE68B3" w:rsidTr="008A215A">
        <w:trPr>
          <w:jc w:val="center"/>
        </w:trPr>
        <w:tc>
          <w:tcPr>
            <w:tcW w:w="1418" w:type="dxa"/>
          </w:tcPr>
          <w:p w:rsidR="008A215A"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15</w:t>
            </w:r>
            <w:r>
              <w:rPr>
                <w:rFonts w:ascii="仿宋" w:eastAsia="仿宋" w:hAnsi="仿宋" w:hint="eastAsia"/>
                <w:sz w:val="28"/>
                <w:szCs w:val="32"/>
                <w:lang w:eastAsia="zh-CN"/>
              </w:rPr>
              <w:t>：</w:t>
            </w:r>
            <w:r w:rsidRPr="00DE68B3">
              <w:rPr>
                <w:rFonts w:ascii="仿宋" w:eastAsia="仿宋" w:hAnsi="仿宋"/>
                <w:sz w:val="28"/>
                <w:szCs w:val="32"/>
                <w:lang w:eastAsia="zh-CN"/>
              </w:rPr>
              <w:t>30—</w:t>
            </w:r>
          </w:p>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16</w:t>
            </w:r>
            <w:r>
              <w:rPr>
                <w:rFonts w:ascii="仿宋" w:eastAsia="仿宋" w:hAnsi="仿宋" w:hint="eastAsia"/>
                <w:sz w:val="28"/>
                <w:szCs w:val="32"/>
                <w:lang w:eastAsia="zh-CN"/>
              </w:rPr>
              <w:t>：</w:t>
            </w:r>
            <w:r w:rsidRPr="00DE68B3">
              <w:rPr>
                <w:rFonts w:ascii="仿宋" w:eastAsia="仿宋" w:hAnsi="仿宋"/>
                <w:sz w:val="28"/>
                <w:szCs w:val="32"/>
                <w:lang w:eastAsia="zh-CN"/>
              </w:rPr>
              <w:t xml:space="preserve">50 </w:t>
            </w:r>
          </w:p>
        </w:tc>
        <w:tc>
          <w:tcPr>
            <w:tcW w:w="2126" w:type="dxa"/>
          </w:tcPr>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b/>
                <w:sz w:val="28"/>
                <w:szCs w:val="32"/>
                <w:lang w:eastAsia="zh-CN"/>
              </w:rPr>
              <w:t>环节四</w:t>
            </w:r>
            <w:r w:rsidRPr="00DE68B3">
              <w:rPr>
                <w:rFonts w:ascii="仿宋" w:eastAsia="仿宋" w:hAnsi="仿宋"/>
                <w:sz w:val="28"/>
                <w:szCs w:val="32"/>
                <w:lang w:eastAsia="zh-CN"/>
              </w:rPr>
              <w:t>：怎样避免在国际仲裁中发生职业伦理问题：《国际律师协会国际仲裁利益冲突指引》</w:t>
            </w:r>
          </w:p>
        </w:tc>
        <w:tc>
          <w:tcPr>
            <w:tcW w:w="2835" w:type="dxa"/>
          </w:tcPr>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hint="eastAsia"/>
                <w:sz w:val="28"/>
                <w:szCs w:val="32"/>
                <w:lang w:eastAsia="zh-CN"/>
              </w:rPr>
            </w:pPr>
            <w:r w:rsidRPr="00DE68B3">
              <w:rPr>
                <w:rFonts w:ascii="仿宋" w:eastAsia="仿宋" w:hAnsi="仿宋"/>
                <w:sz w:val="28"/>
                <w:szCs w:val="32"/>
                <w:lang w:eastAsia="zh-CN"/>
              </w:rPr>
              <w:t>本环节将采用问答的形式。主持人会就《国际律师协会国际仲裁利益冲突指引》向嘉宾提问。通过回答问题和讨论，嘉宾将介绍在国际仲裁中何种情形会产生利益冲突，以及仲裁员独立性的判断标准和披露义务。</w:t>
            </w:r>
          </w:p>
        </w:tc>
        <w:tc>
          <w:tcPr>
            <w:tcW w:w="2984" w:type="dxa"/>
          </w:tcPr>
          <w:p w:rsidR="008A215A" w:rsidRPr="000731B5" w:rsidRDefault="008A215A" w:rsidP="0081011C">
            <w:pPr>
              <w:rPr>
                <w:rFonts w:ascii="仿宋" w:eastAsia="仿宋" w:hAnsi="仿宋" w:hint="eastAsia"/>
                <w:sz w:val="28"/>
                <w:szCs w:val="32"/>
              </w:rPr>
            </w:pPr>
          </w:p>
          <w:p w:rsidR="008A215A" w:rsidRPr="00DE68B3" w:rsidRDefault="008A215A" w:rsidP="008A215A">
            <w:pPr>
              <w:pStyle w:val="KWBodytext"/>
              <w:numPr>
                <w:ilvl w:val="0"/>
                <w:numId w:val="4"/>
              </w:numPr>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主持人：陈鲁明，北京市君合（上海）律师事务所合伙人</w:t>
            </w:r>
          </w:p>
          <w:p w:rsidR="008A215A" w:rsidRPr="00DE68B3" w:rsidRDefault="008A215A" w:rsidP="0081011C">
            <w:pPr>
              <w:pStyle w:val="KWBodytext"/>
              <w:adjustRightInd w:val="0"/>
              <w:snapToGrid w:val="0"/>
              <w:spacing w:before="0" w:after="0" w:line="240" w:lineRule="auto"/>
              <w:ind w:left="420"/>
              <w:contextualSpacing w:val="0"/>
              <w:jc w:val="left"/>
              <w:rPr>
                <w:rFonts w:ascii="仿宋" w:eastAsia="仿宋" w:hAnsi="仿宋"/>
                <w:sz w:val="28"/>
                <w:szCs w:val="32"/>
                <w:lang w:eastAsia="zh-CN"/>
              </w:rPr>
            </w:pPr>
          </w:p>
          <w:p w:rsidR="008A215A" w:rsidRPr="00DE68B3" w:rsidRDefault="008A215A" w:rsidP="008A215A">
            <w:pPr>
              <w:pStyle w:val="KWBodytext"/>
              <w:numPr>
                <w:ilvl w:val="0"/>
                <w:numId w:val="4"/>
              </w:numPr>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嘉宾：陶景洲，美国德杰（Dechert）律师事务所亚洲业务执行合伙人</w:t>
            </w:r>
          </w:p>
        </w:tc>
      </w:tr>
      <w:tr w:rsidR="008A215A" w:rsidRPr="00DE68B3" w:rsidTr="008A215A">
        <w:trPr>
          <w:jc w:val="center"/>
        </w:trPr>
        <w:tc>
          <w:tcPr>
            <w:tcW w:w="1418" w:type="dxa"/>
          </w:tcPr>
          <w:p w:rsidR="008A215A"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16</w:t>
            </w:r>
            <w:r>
              <w:rPr>
                <w:rFonts w:ascii="仿宋" w:eastAsia="仿宋" w:hAnsi="仿宋" w:hint="eastAsia"/>
                <w:sz w:val="28"/>
                <w:szCs w:val="32"/>
                <w:lang w:eastAsia="zh-CN"/>
              </w:rPr>
              <w:t>：</w:t>
            </w:r>
            <w:r w:rsidRPr="00DE68B3">
              <w:rPr>
                <w:rFonts w:ascii="仿宋" w:eastAsia="仿宋" w:hAnsi="仿宋"/>
                <w:sz w:val="28"/>
                <w:szCs w:val="32"/>
                <w:lang w:eastAsia="zh-CN"/>
              </w:rPr>
              <w:t>50—</w:t>
            </w:r>
          </w:p>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17</w:t>
            </w:r>
            <w:r>
              <w:rPr>
                <w:rFonts w:ascii="仿宋" w:eastAsia="仿宋" w:hAnsi="仿宋" w:hint="eastAsia"/>
                <w:sz w:val="28"/>
                <w:szCs w:val="32"/>
                <w:lang w:eastAsia="zh-CN"/>
              </w:rPr>
              <w:t>：</w:t>
            </w:r>
            <w:r w:rsidRPr="00DE68B3">
              <w:rPr>
                <w:rFonts w:ascii="仿宋" w:eastAsia="仿宋" w:hAnsi="仿宋"/>
                <w:sz w:val="28"/>
                <w:szCs w:val="32"/>
                <w:lang w:eastAsia="zh-CN"/>
              </w:rPr>
              <w:t xml:space="preserve">00 </w:t>
            </w:r>
          </w:p>
        </w:tc>
        <w:tc>
          <w:tcPr>
            <w:tcW w:w="2126" w:type="dxa"/>
          </w:tcPr>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proofErr w:type="gramStart"/>
            <w:r w:rsidRPr="00DE68B3">
              <w:rPr>
                <w:rFonts w:ascii="仿宋" w:eastAsia="仿宋" w:hAnsi="仿宋"/>
                <w:sz w:val="28"/>
                <w:szCs w:val="32"/>
                <w:lang w:eastAsia="zh-CN"/>
              </w:rPr>
              <w:t>茶歇</w:t>
            </w:r>
            <w:proofErr w:type="gramEnd"/>
          </w:p>
        </w:tc>
        <w:tc>
          <w:tcPr>
            <w:tcW w:w="2835" w:type="dxa"/>
          </w:tcPr>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p>
        </w:tc>
        <w:tc>
          <w:tcPr>
            <w:tcW w:w="2984" w:type="dxa"/>
          </w:tcPr>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p>
        </w:tc>
      </w:tr>
      <w:tr w:rsidR="008A215A" w:rsidRPr="00DE68B3" w:rsidTr="008A215A">
        <w:trPr>
          <w:jc w:val="center"/>
        </w:trPr>
        <w:tc>
          <w:tcPr>
            <w:tcW w:w="1418" w:type="dxa"/>
          </w:tcPr>
          <w:p w:rsidR="008A215A"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17</w:t>
            </w:r>
            <w:r>
              <w:rPr>
                <w:rFonts w:ascii="仿宋" w:eastAsia="仿宋" w:hAnsi="仿宋" w:hint="eastAsia"/>
                <w:sz w:val="28"/>
                <w:szCs w:val="32"/>
                <w:lang w:eastAsia="zh-CN"/>
              </w:rPr>
              <w:t>：</w:t>
            </w:r>
            <w:r w:rsidRPr="00DE68B3">
              <w:rPr>
                <w:rFonts w:ascii="仿宋" w:eastAsia="仿宋" w:hAnsi="仿宋"/>
                <w:sz w:val="28"/>
                <w:szCs w:val="32"/>
                <w:lang w:eastAsia="zh-CN"/>
              </w:rPr>
              <w:t>00—</w:t>
            </w:r>
          </w:p>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18</w:t>
            </w:r>
            <w:r>
              <w:rPr>
                <w:rFonts w:ascii="仿宋" w:eastAsia="仿宋" w:hAnsi="仿宋" w:hint="eastAsia"/>
                <w:sz w:val="28"/>
                <w:szCs w:val="32"/>
                <w:lang w:eastAsia="zh-CN"/>
              </w:rPr>
              <w:t>：</w:t>
            </w:r>
            <w:r w:rsidRPr="00DE68B3">
              <w:rPr>
                <w:rFonts w:ascii="仿宋" w:eastAsia="仿宋" w:hAnsi="仿宋"/>
                <w:sz w:val="28"/>
                <w:szCs w:val="32"/>
                <w:lang w:eastAsia="zh-CN"/>
              </w:rPr>
              <w:t xml:space="preserve">00 </w:t>
            </w:r>
          </w:p>
        </w:tc>
        <w:tc>
          <w:tcPr>
            <w:tcW w:w="2126" w:type="dxa"/>
          </w:tcPr>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b/>
                <w:sz w:val="28"/>
                <w:szCs w:val="32"/>
                <w:lang w:eastAsia="zh-CN"/>
              </w:rPr>
              <w:t>环节五</w:t>
            </w:r>
            <w:r w:rsidRPr="00DE68B3">
              <w:rPr>
                <w:rFonts w:ascii="仿宋" w:eastAsia="仿宋" w:hAnsi="仿宋"/>
                <w:sz w:val="28"/>
                <w:szCs w:val="32"/>
                <w:lang w:eastAsia="zh-CN"/>
              </w:rPr>
              <w:t>：国际投资仲裁的近期发展</w:t>
            </w:r>
          </w:p>
        </w:tc>
        <w:tc>
          <w:tcPr>
            <w:tcW w:w="2835" w:type="dxa"/>
          </w:tcPr>
          <w:p w:rsidR="008A215A" w:rsidRPr="00DE68B3" w:rsidRDefault="008A215A" w:rsidP="0081011C">
            <w:pPr>
              <w:pStyle w:val="KWBodytext"/>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在本环节中，深圳国际仲裁院将分享其系列仲裁规则对国际投资仲裁的安排以及对国际投资仲裁中常见的管辖和实体问题近期发展/趋势的观</w:t>
            </w:r>
            <w:r w:rsidRPr="00DE68B3">
              <w:rPr>
                <w:rFonts w:ascii="仿宋" w:eastAsia="仿宋" w:hAnsi="仿宋"/>
                <w:sz w:val="28"/>
                <w:szCs w:val="32"/>
                <w:lang w:eastAsia="zh-CN"/>
              </w:rPr>
              <w:lastRenderedPageBreak/>
              <w:t>察，并探讨这些发展对于律师办案是否会产生实际影响。</w:t>
            </w:r>
          </w:p>
        </w:tc>
        <w:tc>
          <w:tcPr>
            <w:tcW w:w="2984" w:type="dxa"/>
          </w:tcPr>
          <w:p w:rsidR="008A215A" w:rsidRPr="00DE68B3" w:rsidRDefault="008A215A" w:rsidP="008A215A">
            <w:pPr>
              <w:pStyle w:val="KWBodytext"/>
              <w:numPr>
                <w:ilvl w:val="0"/>
                <w:numId w:val="5"/>
              </w:numPr>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lastRenderedPageBreak/>
              <w:t>主持人：高文杰，深圳市律师协会理事、国际与港澳台工作委员会主任</w:t>
            </w:r>
          </w:p>
          <w:p w:rsidR="008A215A" w:rsidRPr="00DE68B3" w:rsidRDefault="008A215A" w:rsidP="0081011C">
            <w:pPr>
              <w:pStyle w:val="KWBodytext"/>
              <w:adjustRightInd w:val="0"/>
              <w:snapToGrid w:val="0"/>
              <w:spacing w:before="0" w:after="0" w:line="240" w:lineRule="auto"/>
              <w:ind w:left="420"/>
              <w:contextualSpacing w:val="0"/>
              <w:jc w:val="left"/>
              <w:rPr>
                <w:rFonts w:ascii="仿宋" w:eastAsia="仿宋" w:hAnsi="仿宋"/>
                <w:sz w:val="28"/>
                <w:szCs w:val="32"/>
                <w:lang w:eastAsia="zh-CN"/>
              </w:rPr>
            </w:pPr>
          </w:p>
          <w:p w:rsidR="008A215A" w:rsidRPr="00DE68B3" w:rsidRDefault="008A215A" w:rsidP="008A215A">
            <w:pPr>
              <w:pStyle w:val="KWBodytext"/>
              <w:numPr>
                <w:ilvl w:val="0"/>
                <w:numId w:val="5"/>
              </w:numPr>
              <w:adjustRightInd w:val="0"/>
              <w:snapToGrid w:val="0"/>
              <w:spacing w:before="0" w:after="0" w:line="240" w:lineRule="auto"/>
              <w:contextualSpacing w:val="0"/>
              <w:jc w:val="left"/>
              <w:rPr>
                <w:rFonts w:ascii="仿宋" w:eastAsia="仿宋" w:hAnsi="仿宋"/>
                <w:sz w:val="28"/>
                <w:szCs w:val="32"/>
                <w:lang w:eastAsia="zh-CN"/>
              </w:rPr>
            </w:pPr>
            <w:r w:rsidRPr="00DE68B3">
              <w:rPr>
                <w:rFonts w:ascii="仿宋" w:eastAsia="仿宋" w:hAnsi="仿宋"/>
                <w:sz w:val="28"/>
                <w:szCs w:val="32"/>
                <w:lang w:eastAsia="zh-CN"/>
              </w:rPr>
              <w:t>嘉宾：深圳国际仲裁院代表</w:t>
            </w:r>
          </w:p>
        </w:tc>
      </w:tr>
    </w:tbl>
    <w:p w:rsidR="008A215A" w:rsidRPr="008A215A" w:rsidRDefault="008A215A">
      <w:pPr>
        <w:rPr>
          <w:rFonts w:hint="eastAsia"/>
        </w:rPr>
      </w:pPr>
    </w:p>
    <w:sectPr w:rsidR="008A215A" w:rsidRPr="008A21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8C24C074"/>
    <w:lvl w:ilvl="0" w:tplc="D640DB6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0000004"/>
    <w:multiLevelType w:val="hybridMultilevel"/>
    <w:tmpl w:val="03BE0192"/>
    <w:lvl w:ilvl="0" w:tplc="D640DB6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000008"/>
    <w:multiLevelType w:val="hybridMultilevel"/>
    <w:tmpl w:val="D9A04F8A"/>
    <w:lvl w:ilvl="0" w:tplc="D640DB6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0000019"/>
    <w:multiLevelType w:val="hybridMultilevel"/>
    <w:tmpl w:val="446090DA"/>
    <w:lvl w:ilvl="0" w:tplc="D640DB6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000001B"/>
    <w:multiLevelType w:val="hybridMultilevel"/>
    <w:tmpl w:val="B2DC3CD0"/>
    <w:lvl w:ilvl="0" w:tplc="D640DB6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5A"/>
    <w:rsid w:val="008674BF"/>
    <w:rsid w:val="008A2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2CEB"/>
  <w15:chartTrackingRefBased/>
  <w15:docId w15:val="{68E3E700-D1D2-4DF8-A89D-A3E39688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WBodytext">
    <w:name w:val="K&amp;W Body text"/>
    <w:basedOn w:val="a"/>
    <w:rsid w:val="008A215A"/>
    <w:pPr>
      <w:widowControl/>
      <w:spacing w:after="280" w:line="240" w:lineRule="atLeast"/>
    </w:pPr>
    <w:rPr>
      <w:rFonts w:ascii="Arial" w:eastAsia="楷体_GB2312" w:hAnsi="Arial" w:cs="Times New Roman"/>
      <w:kern w:val="0"/>
      <w:sz w:val="20"/>
      <w:szCs w:val="20"/>
      <w:lang w:eastAsia="en-US"/>
    </w:rPr>
  </w:style>
  <w:style w:type="table" w:customStyle="1" w:styleId="KWTable">
    <w:name w:val="K&amp;W Table"/>
    <w:basedOn w:val="a3"/>
    <w:rsid w:val="008A215A"/>
    <w:pPr>
      <w:spacing w:before="60" w:after="60"/>
      <w:contextualSpacing/>
    </w:pPr>
    <w:rPr>
      <w:rFonts w:ascii="Arial" w:eastAsia="楷体_GB2312" w:hAnsi="Arial" w:cs="Times New Roman"/>
      <w:kern w:val="0"/>
      <w:sz w:val="20"/>
      <w:szCs w:val="20"/>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table" w:styleId="a3">
    <w:name w:val="Table Grid"/>
    <w:basedOn w:val="a1"/>
    <w:uiPriority w:val="39"/>
    <w:rsid w:val="008A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bgs01</dc:creator>
  <cp:keywords/>
  <dc:description/>
  <cp:lastModifiedBy>bgs01</cp:lastModifiedBy>
  <cp:revision>1</cp:revision>
  <dcterms:created xsi:type="dcterms:W3CDTF">2018-04-10T07:51:00Z</dcterms:created>
  <dcterms:modified xsi:type="dcterms:W3CDTF">2018-04-10T07:54:00Z</dcterms:modified>
</cp:coreProperties>
</file>