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883" w:firstLineChars="200"/>
        <w:jc w:val="center"/>
        <w:rPr>
          <w:rFonts w:ascii="仿宋" w:hAnsi="仿宋" w:eastAsia="仿宋"/>
          <w:b/>
          <w:sz w:val="44"/>
          <w:szCs w:val="44"/>
        </w:rPr>
      </w:pPr>
      <w:r>
        <w:rPr>
          <w:rFonts w:hint="eastAsia" w:ascii="仿宋" w:hAnsi="仿宋" w:eastAsia="仿宋"/>
          <w:b/>
          <w:sz w:val="44"/>
          <w:szCs w:val="44"/>
        </w:rPr>
        <w:t>深圳市律师协会专门</w:t>
      </w:r>
      <w:r>
        <w:rPr>
          <w:rFonts w:ascii="仿宋" w:hAnsi="仿宋" w:eastAsia="仿宋"/>
          <w:b/>
          <w:sz w:val="44"/>
          <w:szCs w:val="44"/>
        </w:rPr>
        <w:t>委员会</w:t>
      </w:r>
      <w:r>
        <w:rPr>
          <w:rFonts w:hint="eastAsia" w:ascii="仿宋" w:hAnsi="仿宋" w:eastAsia="仿宋"/>
          <w:b/>
          <w:sz w:val="44"/>
          <w:szCs w:val="44"/>
        </w:rPr>
        <w:t>工作动态（</w:t>
      </w:r>
      <w:r>
        <w:rPr>
          <w:rFonts w:ascii="仿宋" w:hAnsi="仿宋" w:eastAsia="仿宋"/>
          <w:b/>
          <w:sz w:val="44"/>
          <w:szCs w:val="44"/>
        </w:rPr>
        <w:t>2021</w:t>
      </w:r>
      <w:r>
        <w:rPr>
          <w:rFonts w:hint="eastAsia" w:ascii="仿宋" w:hAnsi="仿宋" w:eastAsia="仿宋"/>
          <w:b/>
          <w:sz w:val="44"/>
          <w:szCs w:val="44"/>
        </w:rPr>
        <w:t>年</w:t>
      </w:r>
      <w:r>
        <w:rPr>
          <w:rFonts w:hint="eastAsia" w:ascii="仿宋" w:hAnsi="仿宋" w:eastAsia="仿宋"/>
          <w:b/>
          <w:sz w:val="44"/>
          <w:szCs w:val="44"/>
          <w:lang w:val="en-US" w:eastAsia="zh-CN"/>
        </w:rPr>
        <w:t>10</w:t>
      </w:r>
      <w:r>
        <w:rPr>
          <w:rFonts w:ascii="仿宋" w:hAnsi="仿宋" w:eastAsia="仿宋"/>
          <w:b/>
          <w:sz w:val="44"/>
          <w:szCs w:val="44"/>
        </w:rPr>
        <w:t>月</w:t>
      </w:r>
      <w:r>
        <w:rPr>
          <w:rFonts w:hint="eastAsia" w:ascii="仿宋" w:hAnsi="仿宋" w:eastAsia="仿宋"/>
          <w:b/>
          <w:sz w:val="44"/>
          <w:szCs w:val="44"/>
        </w:rPr>
        <w:t>）</w:t>
      </w:r>
    </w:p>
    <w:tbl>
      <w:tblPr>
        <w:tblStyle w:val="10"/>
        <w:tblW w:w="15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2947"/>
        <w:gridCol w:w="1418"/>
        <w:gridCol w:w="1559"/>
        <w:gridCol w:w="8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600" w:lineRule="exact"/>
              <w:jc w:val="center"/>
              <w:rPr>
                <w:rFonts w:ascii="仿宋" w:hAnsi="仿宋" w:eastAsia="仿宋"/>
                <w:b/>
                <w:bCs/>
                <w:kern w:val="0"/>
                <w:sz w:val="32"/>
                <w:szCs w:val="32"/>
              </w:rPr>
            </w:pPr>
            <w:r>
              <w:rPr>
                <w:rFonts w:hint="eastAsia" w:ascii="仿宋" w:hAnsi="仿宋" w:eastAsia="仿宋"/>
                <w:b/>
                <w:bCs/>
                <w:kern w:val="0"/>
                <w:sz w:val="32"/>
                <w:szCs w:val="32"/>
              </w:rPr>
              <w:t>序号</w:t>
            </w:r>
          </w:p>
        </w:tc>
        <w:tc>
          <w:tcPr>
            <w:tcW w:w="2947" w:type="dxa"/>
            <w:shd w:val="clear" w:color="auto" w:fill="auto"/>
            <w:vAlign w:val="center"/>
          </w:tcPr>
          <w:p>
            <w:pPr>
              <w:widowControl/>
              <w:spacing w:line="600" w:lineRule="exact"/>
              <w:jc w:val="center"/>
              <w:rPr>
                <w:rFonts w:ascii="仿宋" w:hAnsi="仿宋" w:eastAsia="仿宋"/>
                <w:b/>
                <w:bCs/>
                <w:color w:val="FF0000"/>
                <w:kern w:val="0"/>
                <w:sz w:val="32"/>
                <w:szCs w:val="32"/>
              </w:rPr>
            </w:pPr>
            <w:r>
              <w:rPr>
                <w:rFonts w:hint="eastAsia" w:ascii="仿宋" w:hAnsi="仿宋" w:eastAsia="仿宋"/>
                <w:b/>
                <w:bCs/>
                <w:color w:val="000000" w:themeColor="text1"/>
                <w:kern w:val="0"/>
                <w:sz w:val="32"/>
                <w:szCs w:val="32"/>
                <w14:textFill>
                  <w14:solidFill>
                    <w14:schemeClr w14:val="tx1"/>
                  </w14:solidFill>
                </w14:textFill>
              </w:rPr>
              <w:t>工作委员会</w:t>
            </w:r>
          </w:p>
        </w:tc>
        <w:tc>
          <w:tcPr>
            <w:tcW w:w="1418" w:type="dxa"/>
            <w:shd w:val="clear" w:color="auto" w:fill="auto"/>
            <w:vAlign w:val="center"/>
          </w:tcPr>
          <w:p>
            <w:pPr>
              <w:widowControl/>
              <w:spacing w:line="600" w:lineRule="exact"/>
              <w:jc w:val="center"/>
              <w:rPr>
                <w:rFonts w:ascii="仿宋" w:hAnsi="仿宋" w:eastAsia="仿宋"/>
                <w:b/>
                <w:bCs/>
                <w:kern w:val="0"/>
                <w:sz w:val="32"/>
                <w:szCs w:val="32"/>
              </w:rPr>
            </w:pPr>
            <w:r>
              <w:rPr>
                <w:rFonts w:hint="eastAsia" w:ascii="仿宋" w:hAnsi="仿宋" w:eastAsia="仿宋"/>
                <w:b/>
                <w:bCs/>
                <w:kern w:val="0"/>
                <w:sz w:val="32"/>
                <w:szCs w:val="32"/>
              </w:rPr>
              <w:t>主 任</w:t>
            </w:r>
          </w:p>
        </w:tc>
        <w:tc>
          <w:tcPr>
            <w:tcW w:w="1559" w:type="dxa"/>
            <w:shd w:val="clear" w:color="auto" w:fill="auto"/>
            <w:vAlign w:val="center"/>
          </w:tcPr>
          <w:p>
            <w:pPr>
              <w:widowControl/>
              <w:spacing w:line="600" w:lineRule="exact"/>
              <w:rPr>
                <w:rFonts w:ascii="仿宋" w:hAnsi="仿宋" w:eastAsia="仿宋"/>
                <w:b/>
                <w:bCs/>
                <w:kern w:val="0"/>
                <w:sz w:val="32"/>
                <w:szCs w:val="32"/>
              </w:rPr>
            </w:pPr>
            <w:r>
              <w:rPr>
                <w:rFonts w:hint="eastAsia" w:ascii="仿宋" w:hAnsi="仿宋" w:eastAsia="仿宋"/>
                <w:b/>
                <w:bCs/>
                <w:kern w:val="0"/>
                <w:sz w:val="32"/>
                <w:szCs w:val="32"/>
              </w:rPr>
              <w:t>分管会长</w:t>
            </w:r>
          </w:p>
        </w:tc>
        <w:tc>
          <w:tcPr>
            <w:tcW w:w="8653" w:type="dxa"/>
            <w:shd w:val="clear" w:color="auto" w:fill="auto"/>
            <w:vAlign w:val="center"/>
          </w:tcPr>
          <w:p>
            <w:pPr>
              <w:widowControl/>
              <w:spacing w:line="600" w:lineRule="exact"/>
              <w:ind w:firstLine="643" w:firstLineChars="200"/>
              <w:jc w:val="center"/>
              <w:rPr>
                <w:rFonts w:ascii="仿宋" w:hAnsi="仿宋" w:eastAsia="仿宋"/>
                <w:b/>
                <w:bCs/>
                <w:kern w:val="0"/>
                <w:sz w:val="32"/>
                <w:szCs w:val="32"/>
              </w:rPr>
            </w:pPr>
            <w:r>
              <w:rPr>
                <w:rFonts w:hint="eastAsia" w:ascii="仿宋" w:hAnsi="仿宋" w:eastAsia="仿宋"/>
                <w:b/>
                <w:bCs/>
                <w:kern w:val="0"/>
                <w:sz w:val="32"/>
                <w:szCs w:val="32"/>
              </w:rPr>
              <w:t>工作动态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1</w:t>
            </w:r>
          </w:p>
        </w:tc>
        <w:tc>
          <w:tcPr>
            <w:tcW w:w="2947" w:type="dxa"/>
            <w:shd w:val="clear" w:color="auto" w:fill="auto"/>
            <w:vAlign w:val="center"/>
          </w:tcPr>
          <w:p>
            <w:pPr>
              <w:widowControl/>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律师权益</w:t>
            </w:r>
          </w:p>
          <w:p>
            <w:pPr>
              <w:widowControl/>
              <w:spacing w:line="600" w:lineRule="exact"/>
              <w:jc w:val="center"/>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保障委员会</w:t>
            </w:r>
          </w:p>
        </w:tc>
        <w:tc>
          <w:tcPr>
            <w:tcW w:w="1418"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方壮毅</w:t>
            </w:r>
          </w:p>
        </w:tc>
        <w:tc>
          <w:tcPr>
            <w:tcW w:w="1559"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章成</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1.10月19日，维权委副主任李鲲、赵广群等赴中院参加切实解决执行难调研座谈会；</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2.10月，接维权申请7宗；</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s="Times New Roman"/>
                <w:sz w:val="30"/>
                <w:szCs w:val="30"/>
              </w:rPr>
            </w:pPr>
            <w:r>
              <w:rPr>
                <w:rFonts w:hint="eastAsia" w:ascii="仿宋" w:hAnsi="仿宋" w:eastAsia="仿宋"/>
                <w:kern w:val="0"/>
                <w:sz w:val="30"/>
                <w:szCs w:val="30"/>
                <w:lang w:val="en-US" w:eastAsia="zh-CN"/>
              </w:rPr>
              <w:t>3.</w:t>
            </w:r>
            <w:r>
              <w:rPr>
                <w:rFonts w:hint="eastAsia" w:ascii="仿宋" w:hAnsi="仿宋" w:eastAsia="仿宋"/>
                <w:kern w:val="0"/>
                <w:sz w:val="30"/>
                <w:szCs w:val="30"/>
              </w:rPr>
              <w:t>10月，发布关于看守所律师会见的信息1条。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法治深圳促进</w:t>
            </w:r>
          </w:p>
          <w:p>
            <w:pPr>
              <w:widowControl/>
              <w:spacing w:line="56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许宜群</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1.办理市局关于征求《深圳市物业服务企业参与基层社会治理办法（征求意见稿）》意见的函；</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2.办理市局关于征求《深圳市道路交通事故社会救助基金管理办法（征求意见稿）》意见的函；</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3.办理市局关于征求《深圳市个人破产信息登记与公开暂行办法（征求意见稿）》意见的函；</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4.办理市局关于征求《深圳市民用无人机管理暂行办法（征求意见稿）》意见的函；</w:t>
            </w:r>
          </w:p>
          <w:p>
            <w:pPr>
              <w:keepNext w:val="0"/>
              <w:keepLines w:val="0"/>
              <w:pageBreakBefore w:val="0"/>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kern w:val="0"/>
                <w:sz w:val="30"/>
                <w:szCs w:val="30"/>
                <w:lang w:val="en-US" w:eastAsia="zh-CN"/>
              </w:rPr>
              <w:t>5.</w:t>
            </w:r>
            <w:r>
              <w:rPr>
                <w:rFonts w:hint="eastAsia" w:ascii="仿宋" w:hAnsi="仿宋" w:eastAsia="仿宋"/>
                <w:kern w:val="0"/>
                <w:sz w:val="30"/>
                <w:szCs w:val="30"/>
              </w:rPr>
              <w:t>办理市局关于征求《深圳经济特区创业投资条例（修订征求意见稿）》意见的函。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17"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3</w:t>
            </w:r>
          </w:p>
        </w:tc>
        <w:tc>
          <w:tcPr>
            <w:tcW w:w="2947" w:type="dxa"/>
            <w:shd w:val="clear" w:color="auto" w:fill="auto"/>
            <w:vAlign w:val="center"/>
          </w:tcPr>
          <w:p>
            <w:pPr>
              <w:widowControl/>
              <w:spacing w:line="600" w:lineRule="exact"/>
              <w:ind w:firstLine="640" w:firstLineChars="200"/>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公益委员会</w:t>
            </w:r>
          </w:p>
        </w:tc>
        <w:tc>
          <w:tcPr>
            <w:tcW w:w="1418" w:type="dxa"/>
            <w:shd w:val="clear" w:color="auto" w:fill="auto"/>
            <w:vAlign w:val="center"/>
          </w:tcPr>
          <w:p>
            <w:pPr>
              <w:widowControl/>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孙程旭</w:t>
            </w:r>
          </w:p>
        </w:tc>
        <w:tc>
          <w:tcPr>
            <w:tcW w:w="1559" w:type="dxa"/>
            <w:shd w:val="clear" w:color="auto" w:fill="auto"/>
            <w:vAlign w:val="center"/>
          </w:tcPr>
          <w:p>
            <w:pPr>
              <w:widowControl/>
              <w:spacing w:line="600" w:lineRule="exact"/>
              <w:jc w:val="center"/>
              <w:rPr>
                <w:rFonts w:ascii="仿宋" w:hAnsi="仿宋" w:eastAsia="仿宋" w:cs="Calibri"/>
                <w:kern w:val="0"/>
                <w:sz w:val="32"/>
                <w:szCs w:val="32"/>
              </w:rPr>
            </w:pPr>
            <w:r>
              <w:rPr>
                <w:rFonts w:ascii="仿宋" w:hAnsi="仿宋" w:eastAsia="仿宋" w:cs="Calibri"/>
                <w:kern w:val="0"/>
                <w:sz w:val="32"/>
                <w:szCs w:val="32"/>
              </w:rPr>
              <w:t>蔡华</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1.办理《深圳市普法办公室关于商请推荐“八五”普法讲师团讲师的函》</w:t>
            </w:r>
            <w:r>
              <w:rPr>
                <w:rFonts w:hint="eastAsia" w:ascii="仿宋" w:hAnsi="仿宋" w:eastAsia="仿宋"/>
                <w:kern w:val="0"/>
                <w:sz w:val="30"/>
                <w:szCs w:val="30"/>
                <w:lang w:eastAsia="zh-CN"/>
              </w:rPr>
              <w:t>，</w:t>
            </w:r>
            <w:r>
              <w:rPr>
                <w:rFonts w:hint="eastAsia" w:ascii="仿宋" w:hAnsi="仿宋" w:eastAsia="仿宋"/>
                <w:kern w:val="0"/>
                <w:sz w:val="30"/>
                <w:szCs w:val="30"/>
              </w:rPr>
              <w:t>根据办文，拟定深圳市“八五”普法讲师团推荐律师名单、草拟上会报告并审批上会；</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组织全市2021年度一村（社区）一法律顾问培训，与市局、律师学院、业务部沟通培训讲师、培训档期等情况，并草拟《深圳市司法局关于开展2021年度深圳市一村（社区）一法律顾问培训的通知》挂网；草拟《2021年度全市一村（社区）一法律顾问培训顺利举行》并挂网；</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3.根据工作管理及工作安排，筹备2021年度“1+1”志愿律师及援藏律师慰问工作。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4</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参政议政促进</w:t>
            </w:r>
          </w:p>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黄远兵</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lang w:val="en-US" w:eastAsia="zh-CN"/>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5</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前海律师工作</w:t>
            </w:r>
          </w:p>
          <w:p>
            <w:pPr>
              <w:widowControl/>
              <w:adjustRightInd w:val="0"/>
              <w:snapToGrid w:val="0"/>
              <w:spacing w:line="600" w:lineRule="exact"/>
              <w:jc w:val="center"/>
              <w:rPr>
                <w:rFonts w:ascii="仿宋" w:hAnsi="仿宋" w:eastAsia="仿宋" w:cs="Calibri"/>
                <w:color w:val="000000" w:themeColor="text1"/>
                <w:kern w:val="0"/>
                <w:sz w:val="32"/>
                <w:szCs w:val="32"/>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孟荻</w:t>
            </w:r>
          </w:p>
        </w:tc>
        <w:tc>
          <w:tcPr>
            <w:tcW w:w="1559" w:type="dxa"/>
            <w:shd w:val="clear" w:color="auto" w:fill="auto"/>
            <w:vAlign w:val="center"/>
          </w:tcPr>
          <w:p>
            <w:pPr>
              <w:widowControl/>
              <w:adjustRightInd w:val="0"/>
              <w:snapToGrid w:val="0"/>
              <w:spacing w:line="600" w:lineRule="exact"/>
              <w:ind w:firstLine="320" w:firstLineChars="100"/>
              <w:rPr>
                <w:rFonts w:ascii="仿宋" w:hAnsi="仿宋" w:eastAsia="仿宋" w:cs="Calibri"/>
                <w:kern w:val="0"/>
                <w:sz w:val="32"/>
                <w:szCs w:val="32"/>
              </w:rPr>
            </w:pPr>
            <w:r>
              <w:rPr>
                <w:rFonts w:ascii="仿宋" w:hAnsi="仿宋" w:eastAsia="仿宋" w:cs="Calibri"/>
                <w:kern w:val="0"/>
                <w:sz w:val="32"/>
                <w:szCs w:val="32"/>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sz w:val="30"/>
                <w:szCs w:val="30"/>
                <w:lang w:eastAsia="zh-CN"/>
              </w:rPr>
            </w:pPr>
            <w:r>
              <w:rPr>
                <w:rFonts w:hint="eastAsia" w:ascii="仿宋" w:hAnsi="仿宋" w:eastAsia="仿宋"/>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6</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法律职业共同体工作委员会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刘庆江</w:t>
            </w:r>
          </w:p>
        </w:tc>
        <w:tc>
          <w:tcPr>
            <w:tcW w:w="1559"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曾迈</w:t>
            </w:r>
          </w:p>
        </w:tc>
        <w:tc>
          <w:tcPr>
            <w:tcW w:w="8653"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kern w:val="0"/>
                <w:sz w:val="30"/>
                <w:szCs w:val="30"/>
              </w:rPr>
              <w:t>7</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会员违规行为</w:t>
            </w:r>
          </w:p>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调查工作委员会</w:t>
            </w:r>
          </w:p>
        </w:tc>
        <w:tc>
          <w:tcPr>
            <w:tcW w:w="1418"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赵东川</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章成</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1.10月受理各类投诉53件，发出25个立案通知书，27个不予立案通知书；将31件答辩期满投诉移交调查。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kern w:val="0"/>
                <w:sz w:val="30"/>
                <w:szCs w:val="30"/>
              </w:rPr>
              <w:t>8</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会员违规行为</w:t>
            </w:r>
          </w:p>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惩戒委员会</w:t>
            </w:r>
          </w:p>
        </w:tc>
        <w:tc>
          <w:tcPr>
            <w:tcW w:w="1418"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廖耀雄</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hint="eastAsia" w:ascii="仿宋" w:hAnsi="仿宋" w:eastAsia="仿宋"/>
                <w:kern w:val="0"/>
                <w:sz w:val="30"/>
                <w:szCs w:val="30"/>
              </w:rPr>
              <w:t>章成</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1.10月，召开4场听证会，对22个案件进行审议；</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2.10月，发出结果文书22个。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9</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女律师工作委员会</w:t>
            </w:r>
          </w:p>
        </w:tc>
        <w:tc>
          <w:tcPr>
            <w:tcW w:w="1418"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14:textFill>
                  <w14:solidFill>
                    <w14:schemeClr w14:val="tx1"/>
                  </w14:solidFill>
                </w14:textFill>
              </w:rPr>
              <w:t>王芬</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60" w:firstLineChars="50"/>
              <w:jc w:val="center"/>
              <w:rPr>
                <w:rFonts w:ascii="仿宋" w:hAnsi="仿宋" w:eastAsia="仿宋" w:cs="Calibri"/>
                <w:kern w:val="0"/>
                <w:sz w:val="32"/>
                <w:szCs w:val="32"/>
              </w:rPr>
            </w:pPr>
            <w:r>
              <w:rPr>
                <w:rFonts w:ascii="仿宋" w:hAnsi="仿宋" w:eastAsia="仿宋" w:cs="Calibri"/>
                <w:kern w:val="0"/>
                <w:sz w:val="32"/>
                <w:szCs w:val="32"/>
              </w:rPr>
              <w:t>10</w:t>
            </w:r>
          </w:p>
        </w:tc>
        <w:tc>
          <w:tcPr>
            <w:tcW w:w="2947" w:type="dxa"/>
            <w:shd w:val="clear" w:color="auto" w:fill="auto"/>
            <w:vAlign w:val="center"/>
          </w:tcPr>
          <w:p>
            <w:pPr>
              <w:widowControl/>
              <w:adjustRightInd w:val="0"/>
              <w:snapToGrid w:val="0"/>
              <w:spacing w:line="600" w:lineRule="exact"/>
              <w:jc w:val="center"/>
              <w:rPr>
                <w:rFonts w:ascii="仿宋" w:hAnsi="仿宋" w:eastAsia="仿宋" w:cs="Calibri"/>
                <w:color w:val="000000" w:themeColor="text1"/>
                <w:kern w:val="0"/>
                <w:sz w:val="32"/>
                <w:szCs w:val="32"/>
                <w:highlight w:val="none"/>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国际与港澳台</w:t>
            </w:r>
          </w:p>
          <w:p>
            <w:pPr>
              <w:widowControl/>
              <w:adjustRightInd w:val="0"/>
              <w:snapToGrid w:val="0"/>
              <w:spacing w:line="600" w:lineRule="exact"/>
              <w:jc w:val="center"/>
              <w:rPr>
                <w:rFonts w:ascii="仿宋" w:hAnsi="仿宋" w:eastAsia="仿宋" w:cs="Calibri"/>
                <w:color w:val="FF0000"/>
                <w:kern w:val="0"/>
                <w:sz w:val="32"/>
                <w:szCs w:val="32"/>
              </w:rPr>
            </w:pPr>
            <w:r>
              <w:rPr>
                <w:rFonts w:ascii="仿宋" w:hAnsi="仿宋" w:eastAsia="仿宋" w:cs="Calibri"/>
                <w:color w:val="000000" w:themeColor="text1"/>
                <w:kern w:val="0"/>
                <w:sz w:val="32"/>
                <w:szCs w:val="32"/>
                <w:highlight w:val="none"/>
                <w14:textFill>
                  <w14:solidFill>
                    <w14:schemeClr w14:val="tx1"/>
                  </w14:solidFill>
                </w14:textFill>
              </w:rPr>
              <w:t>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高文杰</w:t>
            </w:r>
          </w:p>
        </w:tc>
        <w:tc>
          <w:tcPr>
            <w:tcW w:w="1559" w:type="dxa"/>
            <w:shd w:val="clear" w:color="auto" w:fill="auto"/>
            <w:vAlign w:val="center"/>
          </w:tcPr>
          <w:p>
            <w:pPr>
              <w:jc w:val="center"/>
              <w:rPr>
                <w:rFonts w:ascii="仿宋" w:hAnsi="仿宋" w:eastAsia="仿宋"/>
                <w:kern w:val="0"/>
                <w:sz w:val="30"/>
                <w:szCs w:val="30"/>
              </w:rPr>
            </w:pPr>
            <w:r>
              <w:rPr>
                <w:rFonts w:ascii="仿宋" w:hAnsi="仿宋" w:eastAsia="仿宋"/>
                <w:kern w:val="0"/>
                <w:sz w:val="30"/>
                <w:szCs w:val="30"/>
              </w:rPr>
              <w:t>韩俊</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1.发布信息稿《发挥仲裁争议解决作用，服务企业参与跨国经营——2021年全省商务法律服务月深圳专场活动成功举行》；</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2.根据办文，跟进省律协首期粤港澳大湾区《中华人民共和国民法典》系列讲座相关事宜，组织40名深圳律师报名；</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3.跟进第四批广东省涉外律师事务所库和涉外律师人才库相关工作：草拟《关于转发广东省律师协会&lt;关于开展第四批广东省涉外律师事务所库和涉外律师人才库申报工作的通知&gt;的通知》；目前接到70名律师申报入库、3家律所申报入库；</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4.跟进湖南省律师协会《关于请求协助湖南省涉外法律服务律师人才培养对象赴深圳跟班学习的函》：与深圳涉外律所沟通了解接收意愿；协助对接3名湖南律师跟班学习相关工作；</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5.办理香港律师会关于第四届一带一路论坛的邮件；</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6.办理香港律师会关于两岸四地青年律师论坛2021线上会长圆桌会议的邮件；</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7.办理香港律师会关于深圳地区特色美食的邮件；</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8.跟进深圳市涉外经贸律师团相关工作；</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9.办文1件（2021年涉外律师人才高级研修班相关事宜）。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ascii="仿宋" w:hAnsi="仿宋" w:eastAsia="仿宋" w:cs="Calibri"/>
                <w:kern w:val="0"/>
                <w:sz w:val="32"/>
                <w:szCs w:val="32"/>
              </w:rPr>
              <w:t>11</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老律师工作委员会</w:t>
            </w:r>
          </w:p>
        </w:tc>
        <w:tc>
          <w:tcPr>
            <w:tcW w:w="1418"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kern w:val="0"/>
                <w:sz w:val="30"/>
                <w:szCs w:val="30"/>
              </w:rPr>
              <w:t>高立明</w:t>
            </w:r>
          </w:p>
        </w:tc>
        <w:tc>
          <w:tcPr>
            <w:tcW w:w="1559" w:type="dxa"/>
            <w:shd w:val="clear" w:color="auto" w:fill="auto"/>
            <w:vAlign w:val="center"/>
          </w:tcPr>
          <w:p>
            <w:pPr>
              <w:spacing w:line="600" w:lineRule="exact"/>
              <w:jc w:val="center"/>
              <w:rPr>
                <w:rFonts w:ascii="仿宋" w:hAnsi="仿宋" w:eastAsia="仿宋"/>
                <w:kern w:val="0"/>
                <w:sz w:val="32"/>
                <w:szCs w:val="32"/>
              </w:rPr>
            </w:pPr>
            <w:r>
              <w:rPr>
                <w:rFonts w:hint="eastAsia" w:ascii="仿宋" w:hAnsi="仿宋" w:eastAsia="仿宋"/>
                <w:kern w:val="0"/>
                <w:sz w:val="30"/>
                <w:szCs w:val="30"/>
              </w:rPr>
              <w:t>汪腾锋</w:t>
            </w:r>
          </w:p>
        </w:tc>
        <w:tc>
          <w:tcPr>
            <w:tcW w:w="8653" w:type="dxa"/>
            <w:shd w:val="clear" w:color="auto" w:fill="auto"/>
            <w:vAlign w:val="center"/>
          </w:tcPr>
          <w:p>
            <w:pPr>
              <w:keepNext w:val="0"/>
              <w:keepLines w:val="0"/>
              <w:pageBreakBefore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Times New Roman"/>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jc w:val="center"/>
              <w:rPr>
                <w:rFonts w:ascii="仿宋" w:hAnsi="仿宋" w:eastAsia="仿宋" w:cs="Calibri"/>
                <w:kern w:val="0"/>
                <w:sz w:val="32"/>
                <w:szCs w:val="32"/>
              </w:rPr>
            </w:pPr>
            <w:r>
              <w:rPr>
                <w:rFonts w:hint="eastAsia" w:ascii="仿宋" w:hAnsi="仿宋" w:eastAsia="仿宋" w:cs="Calibri"/>
                <w:kern w:val="0"/>
                <w:sz w:val="32"/>
                <w:szCs w:val="32"/>
              </w:rPr>
              <w:t>1</w:t>
            </w:r>
            <w:r>
              <w:rPr>
                <w:rFonts w:ascii="仿宋" w:hAnsi="仿宋" w:eastAsia="仿宋" w:cs="Calibri"/>
                <w:kern w:val="0"/>
                <w:sz w:val="32"/>
                <w:szCs w:val="32"/>
              </w:rPr>
              <w:t>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14:textFill>
                  <w14:solidFill>
                    <w14:schemeClr w14:val="tx1"/>
                  </w14:solidFill>
                </w14:textFill>
              </w:rPr>
            </w:pPr>
            <w:r>
              <w:rPr>
                <w:rFonts w:ascii="仿宋" w:hAnsi="仿宋" w:eastAsia="仿宋" w:cs="Calibri"/>
                <w:color w:val="000000" w:themeColor="text1"/>
                <w:kern w:val="0"/>
                <w:sz w:val="32"/>
                <w:szCs w:val="32"/>
                <w:highlight w:val="none"/>
                <w14:textFill>
                  <w14:solidFill>
                    <w14:schemeClr w14:val="tx1"/>
                  </w14:solidFill>
                </w14:textFill>
              </w:rPr>
              <w:t>公司与公职律师工作委员会</w:t>
            </w:r>
          </w:p>
        </w:tc>
        <w:tc>
          <w:tcPr>
            <w:tcW w:w="1418"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赖向东</w:t>
            </w:r>
          </w:p>
        </w:tc>
        <w:tc>
          <w:tcPr>
            <w:tcW w:w="1559" w:type="dxa"/>
            <w:shd w:val="clear" w:color="auto" w:fill="auto"/>
            <w:vAlign w:val="center"/>
          </w:tcPr>
          <w:p>
            <w:pPr>
              <w:widowControl/>
              <w:spacing w:line="560" w:lineRule="exact"/>
              <w:jc w:val="center"/>
              <w:rPr>
                <w:rFonts w:ascii="仿宋" w:hAnsi="仿宋" w:eastAsia="仿宋"/>
                <w:kern w:val="0"/>
                <w:sz w:val="30"/>
                <w:szCs w:val="30"/>
              </w:rPr>
            </w:pPr>
            <w:r>
              <w:rPr>
                <w:rFonts w:ascii="仿宋" w:hAnsi="仿宋" w:eastAsia="仿宋" w:cs="Calibri"/>
                <w:kern w:val="0"/>
                <w:sz w:val="32"/>
                <w:szCs w:val="32"/>
              </w:rPr>
              <w:t>蔡华</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3</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律师文化建设与表彰</w:t>
            </w: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马卓檀</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4</w:t>
            </w:r>
          </w:p>
        </w:tc>
        <w:tc>
          <w:tcPr>
            <w:tcW w:w="2947"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申请律师执业人员工作委员会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胡宁可</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default" w:ascii="仿宋" w:hAnsi="仿宋" w:eastAsia="仿宋"/>
                <w:kern w:val="0"/>
                <w:sz w:val="30"/>
                <w:szCs w:val="30"/>
                <w:lang w:val="en-US" w:eastAsia="zh-CN"/>
              </w:rPr>
            </w:pPr>
            <w:r>
              <w:rPr>
                <w:rFonts w:hint="default" w:ascii="仿宋" w:hAnsi="仿宋" w:eastAsia="仿宋"/>
                <w:kern w:val="0"/>
                <w:sz w:val="30"/>
                <w:szCs w:val="30"/>
                <w:lang w:val="en-US" w:eastAsia="zh-CN"/>
              </w:rPr>
              <w:t>1.跟进实习人员投诉案件；</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default" w:ascii="仿宋" w:hAnsi="仿宋" w:eastAsia="仿宋"/>
                <w:kern w:val="0"/>
                <w:sz w:val="30"/>
                <w:szCs w:val="30"/>
                <w:lang w:val="en-US" w:eastAsia="zh-CN"/>
              </w:rPr>
            </w:pPr>
            <w:r>
              <w:rPr>
                <w:rFonts w:hint="default" w:ascii="仿宋" w:hAnsi="仿宋" w:eastAsia="仿宋"/>
                <w:kern w:val="0"/>
                <w:sz w:val="30"/>
                <w:szCs w:val="30"/>
                <w:lang w:val="en-US" w:eastAsia="zh-CN"/>
              </w:rPr>
              <w:t>2.审核近40份实习管理相关文书；</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default" w:ascii="仿宋" w:hAnsi="仿宋" w:eastAsia="仿宋"/>
                <w:kern w:val="0"/>
                <w:sz w:val="30"/>
                <w:szCs w:val="30"/>
                <w:lang w:val="en-US" w:eastAsia="zh-CN"/>
              </w:rPr>
            </w:pPr>
            <w:r>
              <w:rPr>
                <w:rFonts w:hint="eastAsia" w:ascii="仿宋" w:hAnsi="仿宋" w:eastAsia="仿宋"/>
                <w:kern w:val="0"/>
                <w:sz w:val="30"/>
                <w:szCs w:val="30"/>
                <w:lang w:val="en-US" w:eastAsia="zh-CN"/>
              </w:rPr>
              <w:t>3.</w:t>
            </w:r>
            <w:r>
              <w:rPr>
                <w:rFonts w:hint="default" w:ascii="仿宋" w:hAnsi="仿宋" w:eastAsia="仿宋"/>
                <w:kern w:val="0"/>
                <w:sz w:val="30"/>
                <w:szCs w:val="30"/>
                <w:lang w:val="en-US" w:eastAsia="zh-CN"/>
              </w:rPr>
              <w:t>组织30场257人次实习期满面试考核工作。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5</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文艺与福利</w:t>
            </w:r>
          </w:p>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color w:val="000000" w:themeColor="text1"/>
                <w:kern w:val="0"/>
                <w:sz w:val="32"/>
                <w:szCs w:val="32"/>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任杰</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30"/>
                <w:szCs w:val="30"/>
              </w:rPr>
              <w:t>江定航</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1.</w:t>
            </w:r>
            <w:r>
              <w:rPr>
                <w:rFonts w:hint="eastAsia" w:ascii="仿宋" w:hAnsi="仿宋" w:eastAsia="仿宋"/>
                <w:kern w:val="0"/>
                <w:sz w:val="30"/>
                <w:szCs w:val="30"/>
                <w:lang w:eastAsia="zh-CN"/>
              </w:rPr>
              <w:t>组织深圳律师艺术团合唱团排练；</w:t>
            </w:r>
          </w:p>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val="en-US" w:eastAsia="zh-CN"/>
              </w:rPr>
              <w:t>2.</w:t>
            </w:r>
            <w:r>
              <w:rPr>
                <w:rFonts w:hint="eastAsia" w:ascii="仿宋" w:hAnsi="仿宋" w:eastAsia="仿宋"/>
                <w:kern w:val="0"/>
                <w:sz w:val="30"/>
                <w:szCs w:val="30"/>
                <w:lang w:eastAsia="zh-CN"/>
              </w:rPr>
              <w:t>组织全市律师执业体检。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Calibri"/>
                <w:kern w:val="0"/>
                <w:sz w:val="32"/>
                <w:szCs w:val="32"/>
              </w:rPr>
            </w:pPr>
            <w:r>
              <w:rPr>
                <w:rFonts w:hint="eastAsia" w:ascii="仿宋" w:hAnsi="仿宋" w:eastAsia="仿宋"/>
                <w:color w:val="000000"/>
                <w:kern w:val="0"/>
                <w:sz w:val="30"/>
                <w:szCs w:val="30"/>
              </w:rPr>
              <w:t>1</w:t>
            </w:r>
            <w:r>
              <w:rPr>
                <w:rFonts w:ascii="仿宋" w:hAnsi="仿宋" w:eastAsia="仿宋"/>
                <w:color w:val="000000"/>
                <w:kern w:val="0"/>
                <w:sz w:val="30"/>
                <w:szCs w:val="30"/>
              </w:rPr>
              <w:t>6</w:t>
            </w:r>
          </w:p>
        </w:tc>
        <w:tc>
          <w:tcPr>
            <w:tcW w:w="2947" w:type="dxa"/>
            <w:shd w:val="clear" w:color="auto" w:fill="auto"/>
            <w:vAlign w:val="center"/>
          </w:tcPr>
          <w:p>
            <w:pPr>
              <w:widowControl/>
              <w:spacing w:line="400" w:lineRule="exact"/>
              <w:jc w:val="center"/>
              <w:rPr>
                <w:rFonts w:ascii="仿宋" w:hAnsi="仿宋" w:eastAsia="仿宋"/>
                <w:color w:val="000000" w:themeColor="text1"/>
                <w:kern w:val="0"/>
                <w:sz w:val="30"/>
                <w:szCs w:val="30"/>
                <w:highlight w:val="none"/>
                <w14:textFill>
                  <w14:solidFill>
                    <w14:schemeClr w14:val="tx1"/>
                  </w14:solidFill>
                </w14:textFill>
              </w:rPr>
            </w:pPr>
            <w:r>
              <w:rPr>
                <w:rFonts w:ascii="仿宋" w:hAnsi="仿宋" w:eastAsia="仿宋"/>
                <w:color w:val="000000" w:themeColor="text1"/>
                <w:kern w:val="0"/>
                <w:sz w:val="30"/>
                <w:szCs w:val="30"/>
                <w:highlight w:val="none"/>
                <w14:textFill>
                  <w14:solidFill>
                    <w14:schemeClr w14:val="tx1"/>
                  </w14:solidFill>
                </w14:textFill>
              </w:rPr>
              <w:t>会员与律师代表</w:t>
            </w:r>
          </w:p>
          <w:p>
            <w:pPr>
              <w:widowControl/>
              <w:spacing w:line="560" w:lineRule="exact"/>
              <w:jc w:val="center"/>
              <w:rPr>
                <w:rFonts w:ascii="仿宋" w:hAnsi="仿宋" w:eastAsia="仿宋" w:cs="Calibri"/>
                <w:color w:val="FF0000"/>
                <w:kern w:val="0"/>
                <w:sz w:val="32"/>
                <w:szCs w:val="32"/>
              </w:rPr>
            </w:pPr>
            <w:r>
              <w:rPr>
                <w:rFonts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s="Calibri"/>
                <w:kern w:val="0"/>
                <w:sz w:val="32"/>
                <w:szCs w:val="32"/>
              </w:rPr>
            </w:pPr>
            <w:r>
              <w:rPr>
                <w:rFonts w:ascii="仿宋" w:hAnsi="仿宋" w:eastAsia="仿宋"/>
                <w:color w:val="000000"/>
                <w:kern w:val="0"/>
                <w:sz w:val="30"/>
                <w:szCs w:val="30"/>
              </w:rPr>
              <w:t>潘翔</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ascii="仿宋" w:hAnsi="仿宋" w:eastAsia="仿宋"/>
                <w:color w:val="000000"/>
                <w:kern w:val="0"/>
                <w:sz w:val="30"/>
                <w:szCs w:val="30"/>
              </w:rPr>
              <w:t>蔡华</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rPr>
              <w:t>1.审核律所收费备案文件。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40" w:firstLineChars="50"/>
              <w:jc w:val="center"/>
              <w:rPr>
                <w:rFonts w:ascii="仿宋" w:hAnsi="仿宋" w:eastAsia="仿宋" w:cs="Calibri"/>
                <w:kern w:val="0"/>
                <w:sz w:val="32"/>
                <w:szCs w:val="32"/>
              </w:rPr>
            </w:pPr>
            <w:r>
              <w:rPr>
                <w:rFonts w:hint="eastAsia" w:ascii="仿宋" w:hAnsi="仿宋" w:eastAsia="仿宋"/>
                <w:color w:val="000000"/>
                <w:kern w:val="0"/>
                <w:sz w:val="28"/>
                <w:szCs w:val="24"/>
              </w:rPr>
              <w:t>1</w:t>
            </w:r>
            <w:r>
              <w:rPr>
                <w:rFonts w:ascii="仿宋" w:hAnsi="仿宋" w:eastAsia="仿宋"/>
                <w:color w:val="000000"/>
                <w:kern w:val="0"/>
                <w:sz w:val="28"/>
                <w:szCs w:val="24"/>
              </w:rPr>
              <w:t>7</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业务创新与发展</w:t>
            </w:r>
          </w:p>
          <w:p>
            <w:pPr>
              <w:widowControl/>
              <w:spacing w:line="560" w:lineRule="exact"/>
              <w:jc w:val="center"/>
              <w:rPr>
                <w:rFonts w:ascii="仿宋" w:hAnsi="仿宋" w:eastAsia="仿宋" w:cs="Calibri"/>
                <w:color w:val="FF0000"/>
                <w:kern w:val="0"/>
                <w:sz w:val="32"/>
                <w:szCs w:val="32"/>
              </w:rPr>
            </w:pPr>
            <w:r>
              <w:rPr>
                <w:rFonts w:ascii="仿宋" w:hAnsi="仿宋" w:eastAsia="仿宋"/>
                <w:color w:val="000000" w:themeColor="text1"/>
                <w:kern w:val="0"/>
                <w:sz w:val="30"/>
                <w:szCs w:val="30"/>
                <w:highlight w:val="none"/>
                <w14:textFill>
                  <w14:solidFill>
                    <w14:schemeClr w14:val="tx1"/>
                  </w14:solidFill>
                </w14:textFill>
              </w:rPr>
              <w:t>委员会</w:t>
            </w:r>
          </w:p>
        </w:tc>
        <w:tc>
          <w:tcPr>
            <w:tcW w:w="1418"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28"/>
                <w:szCs w:val="24"/>
              </w:rPr>
              <w:t>李军强</w:t>
            </w:r>
          </w:p>
        </w:tc>
        <w:tc>
          <w:tcPr>
            <w:tcW w:w="1559" w:type="dxa"/>
            <w:shd w:val="clear" w:color="auto" w:fill="auto"/>
            <w:vAlign w:val="center"/>
          </w:tcPr>
          <w:p>
            <w:pPr>
              <w:widowControl/>
              <w:spacing w:line="560" w:lineRule="exact"/>
              <w:jc w:val="center"/>
              <w:rPr>
                <w:rFonts w:ascii="仿宋" w:hAnsi="仿宋" w:eastAsia="仿宋" w:cs="Calibri"/>
                <w:kern w:val="0"/>
                <w:sz w:val="32"/>
                <w:szCs w:val="32"/>
              </w:rPr>
            </w:pPr>
            <w:r>
              <w:rPr>
                <w:rFonts w:hint="eastAsia" w:ascii="仿宋" w:hAnsi="仿宋" w:eastAsia="仿宋"/>
                <w:color w:val="000000"/>
                <w:kern w:val="0"/>
                <w:sz w:val="28"/>
                <w:szCs w:val="24"/>
              </w:rPr>
              <w:t>尹成刚</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1.审核1篇法律资讯、业务研究。</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2.处理以下办文：</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（1）深圳市司法局关于再次征求《深圳市物业服务企业参与基层社会治理办法（征求意见稿）》意见的函；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（2）深圳市中级人民法院关于召开切实解决执行难调研座谈会的邀请函；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（3）深圳市司法局关于征求《深圳市道路交通事故社会救助基金管理办法（征求意见稿）》意见的函；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（4）市个人破产事务管理领导小组办公室关于征求《深圳市个人破产信息登记与公开暂行办法（征求意见稿）》的函；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（5）贯彻落实《关于加快推进公共法律服务体系建设的行动方案》任务情况表；</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（6）深圳市司法局关于征求《深圳经济特区创业投资条例（修订征求意见稿）》意见的函；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（7）深圳市司法局关于征求《深圳市民用无人机管理暂行办法（征求意见稿）》意见的函；</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（8）深圳市社会组织评估委员会评估办公室关于征集市级社会组织评估专家库人选的通知；</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kern w:val="0"/>
                <w:sz w:val="30"/>
                <w:szCs w:val="30"/>
                <w:lang w:eastAsia="zh-CN"/>
              </w:rPr>
            </w:pPr>
            <w:r>
              <w:rPr>
                <w:rFonts w:hint="eastAsia" w:ascii="仿宋" w:hAnsi="仿宋" w:eastAsia="仿宋"/>
                <w:kern w:val="0"/>
                <w:sz w:val="30"/>
                <w:szCs w:val="30"/>
                <w:lang w:eastAsia="zh-CN"/>
              </w:rPr>
              <w:t>（9）深圳市司法局关于举办我市一村（社区）一法律顾问培训活动的通知。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28"/>
                <w:szCs w:val="24"/>
              </w:rPr>
            </w:pPr>
            <w:r>
              <w:rPr>
                <w:rFonts w:ascii="仿宋" w:hAnsi="仿宋" w:eastAsia="仿宋" w:cs="仿宋"/>
                <w:kern w:val="0"/>
                <w:sz w:val="30"/>
                <w:szCs w:val="30"/>
              </w:rPr>
              <w:t>18</w:t>
            </w:r>
          </w:p>
        </w:tc>
        <w:tc>
          <w:tcPr>
            <w:tcW w:w="29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400" w:lineRule="exact"/>
              <w:jc w:val="center"/>
              <w:rPr>
                <w:rFonts w:ascii="仿宋" w:hAnsi="仿宋" w:eastAsia="仿宋" w:cs="仿宋"/>
                <w:color w:val="000000" w:themeColor="text1"/>
                <w:kern w:val="0"/>
                <w:sz w:val="30"/>
                <w:szCs w:val="30"/>
                <w:highlight w:val="none"/>
                <w14:textFill>
                  <w14:solidFill>
                    <w14:schemeClr w14:val="tx1"/>
                  </w14:solidFill>
                </w14:textFill>
              </w:rPr>
            </w:pPr>
            <w:r>
              <w:rPr>
                <w:rFonts w:ascii="仿宋" w:hAnsi="仿宋" w:eastAsia="仿宋" w:cs="仿宋"/>
                <w:color w:val="000000" w:themeColor="text1"/>
                <w:kern w:val="0"/>
                <w:sz w:val="30"/>
                <w:szCs w:val="30"/>
                <w:highlight w:val="none"/>
                <w:lang w:val="zh-TW" w:eastAsia="zh-TW"/>
                <w14:textFill>
                  <w14:solidFill>
                    <w14:schemeClr w14:val="tx1"/>
                  </w14:solidFill>
                </w14:textFill>
              </w:rPr>
              <w:t>行业发展战略</w:t>
            </w:r>
          </w:p>
          <w:p>
            <w:pPr>
              <w:widowControl/>
              <w:spacing w:line="560" w:lineRule="exact"/>
              <w:jc w:val="center"/>
              <w:rPr>
                <w:rFonts w:ascii="仿宋" w:hAnsi="仿宋" w:eastAsia="仿宋"/>
                <w:color w:val="FF0000"/>
                <w:kern w:val="0"/>
                <w:sz w:val="28"/>
                <w:szCs w:val="24"/>
              </w:rPr>
            </w:pPr>
            <w:r>
              <w:rPr>
                <w:rFonts w:ascii="仿宋" w:hAnsi="仿宋" w:eastAsia="仿宋" w:cs="仿宋"/>
                <w:color w:val="000000" w:themeColor="text1"/>
                <w:kern w:val="0"/>
                <w:sz w:val="30"/>
                <w:szCs w:val="30"/>
                <w:highlight w:val="none"/>
                <w:lang w:val="zh-TW" w:eastAsia="zh-TW"/>
                <w14:textFill>
                  <w14:solidFill>
                    <w14:schemeClr w14:val="tx1"/>
                  </w14:solidFill>
                </w14:textFill>
              </w:rPr>
              <w:t>委员会</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60" w:lineRule="exact"/>
              <w:jc w:val="center"/>
              <w:rPr>
                <w:rFonts w:ascii="仿宋" w:hAnsi="仿宋" w:eastAsia="仿宋"/>
                <w:color w:val="000000"/>
                <w:kern w:val="0"/>
                <w:sz w:val="28"/>
                <w:szCs w:val="24"/>
              </w:rPr>
            </w:pPr>
            <w:r>
              <w:rPr>
                <w:rFonts w:ascii="仿宋" w:hAnsi="仿宋" w:eastAsia="仿宋" w:cs="仿宋"/>
                <w:kern w:val="0"/>
                <w:sz w:val="30"/>
                <w:szCs w:val="30"/>
                <w:lang w:val="zh-TW" w:eastAsia="zh-TW"/>
              </w:rPr>
              <w:t>陈旭绯</w:t>
            </w:r>
          </w:p>
        </w:tc>
        <w:tc>
          <w:tcPr>
            <w:tcW w:w="155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560" w:lineRule="exact"/>
              <w:jc w:val="center"/>
              <w:rPr>
                <w:rFonts w:ascii="仿宋" w:hAnsi="仿宋" w:eastAsia="仿宋"/>
                <w:color w:val="000000"/>
                <w:kern w:val="0"/>
                <w:sz w:val="28"/>
                <w:szCs w:val="24"/>
              </w:rPr>
            </w:pPr>
            <w:r>
              <w:rPr>
                <w:rFonts w:ascii="仿宋" w:hAnsi="仿宋" w:eastAsia="仿宋" w:cs="仿宋"/>
                <w:kern w:val="0"/>
                <w:sz w:val="30"/>
                <w:szCs w:val="30"/>
                <w:lang w:val="zh-TW" w:eastAsia="zh-TW"/>
              </w:rPr>
              <w:t>汪腾锋</w:t>
            </w:r>
          </w:p>
        </w:tc>
        <w:tc>
          <w:tcPr>
            <w:tcW w:w="86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spacing w:line="560" w:lineRule="exact"/>
              <w:jc w:val="both"/>
              <w:textAlignment w:val="auto"/>
              <w:rPr>
                <w:rFonts w:ascii="仿宋" w:hAnsi="仿宋" w:eastAsia="仿宋"/>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lang w:val="en-US" w:eastAsia="zh-CN"/>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s="仿宋"/>
                <w:kern w:val="0"/>
                <w:sz w:val="30"/>
                <w:szCs w:val="30"/>
              </w:rPr>
            </w:pPr>
            <w:r>
              <w:rPr>
                <w:rFonts w:hint="eastAsia" w:ascii="仿宋" w:hAnsi="仿宋" w:eastAsia="仿宋"/>
                <w:kern w:val="0"/>
                <w:sz w:val="30"/>
                <w:szCs w:val="30"/>
              </w:rPr>
              <w:t>1</w:t>
            </w:r>
            <w:r>
              <w:rPr>
                <w:rFonts w:ascii="仿宋" w:hAnsi="仿宋" w:eastAsia="仿宋"/>
                <w:kern w:val="0"/>
                <w:sz w:val="30"/>
                <w:szCs w:val="30"/>
              </w:rPr>
              <w:t>9</w:t>
            </w:r>
          </w:p>
        </w:tc>
        <w:tc>
          <w:tcPr>
            <w:tcW w:w="2947" w:type="dxa"/>
            <w:shd w:val="clear" w:color="auto" w:fill="auto"/>
            <w:vAlign w:val="center"/>
          </w:tcPr>
          <w:p>
            <w:pPr>
              <w:widowControl/>
              <w:spacing w:line="400" w:lineRule="exact"/>
              <w:jc w:val="center"/>
              <w:rPr>
                <w:rFonts w:ascii="仿宋" w:hAnsi="仿宋" w:eastAsia="仿宋" w:cs="仿宋"/>
                <w:color w:val="FF0000"/>
                <w:kern w:val="0"/>
                <w:sz w:val="30"/>
                <w:szCs w:val="30"/>
                <w:lang w:val="zh-TW" w:eastAsia="zh-TW"/>
              </w:rPr>
            </w:pPr>
            <w:r>
              <w:rPr>
                <w:rFonts w:hint="eastAsia" w:ascii="仿宋" w:hAnsi="仿宋" w:eastAsia="仿宋"/>
                <w:color w:val="000000" w:themeColor="text1"/>
                <w:kern w:val="0"/>
                <w:sz w:val="30"/>
                <w:szCs w:val="30"/>
                <w:highlight w:val="none"/>
                <w14:textFill>
                  <w14:solidFill>
                    <w14:schemeClr w14:val="tx1"/>
                  </w14:solidFill>
                </w14:textFill>
              </w:rPr>
              <w:t>职</w:t>
            </w:r>
            <w:r>
              <w:rPr>
                <w:rFonts w:ascii="仿宋" w:hAnsi="仿宋" w:eastAsia="仿宋"/>
                <w:color w:val="000000" w:themeColor="text1"/>
                <w:kern w:val="0"/>
                <w:sz w:val="30"/>
                <w:szCs w:val="30"/>
                <w:highlight w:val="none"/>
                <w14:textFill>
                  <w14:solidFill>
                    <w14:schemeClr w14:val="tx1"/>
                  </w14:solidFill>
                </w14:textFill>
              </w:rPr>
              <w:t>业培训委员会</w:t>
            </w:r>
          </w:p>
        </w:tc>
        <w:tc>
          <w:tcPr>
            <w:tcW w:w="1418" w:type="dxa"/>
            <w:shd w:val="clear" w:color="auto" w:fill="auto"/>
            <w:vAlign w:val="center"/>
          </w:tcPr>
          <w:p>
            <w:pPr>
              <w:widowControl/>
              <w:spacing w:line="560" w:lineRule="exact"/>
              <w:jc w:val="center"/>
              <w:rPr>
                <w:rFonts w:ascii="仿宋" w:hAnsi="仿宋" w:eastAsia="仿宋" w:cs="仿宋"/>
                <w:kern w:val="0"/>
                <w:sz w:val="30"/>
                <w:szCs w:val="30"/>
                <w:lang w:val="zh-TW" w:eastAsia="zh-TW"/>
              </w:rPr>
            </w:pPr>
            <w:r>
              <w:rPr>
                <w:rFonts w:hint="eastAsia" w:ascii="仿宋" w:hAnsi="仿宋" w:eastAsia="仿宋"/>
                <w:kern w:val="0"/>
                <w:sz w:val="30"/>
                <w:szCs w:val="30"/>
              </w:rPr>
              <w:t>何</w:t>
            </w:r>
            <w:r>
              <w:rPr>
                <w:rFonts w:ascii="仿宋" w:hAnsi="仿宋" w:eastAsia="仿宋"/>
                <w:kern w:val="0"/>
                <w:sz w:val="30"/>
                <w:szCs w:val="30"/>
              </w:rPr>
              <w:t>志军</w:t>
            </w:r>
          </w:p>
        </w:tc>
        <w:tc>
          <w:tcPr>
            <w:tcW w:w="1559"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bCs/>
                <w:kern w:val="0"/>
                <w:sz w:val="30"/>
                <w:szCs w:val="30"/>
                <w:lang w:val="zh-TW" w:eastAsia="zh-TW"/>
              </w:rPr>
            </w:pPr>
            <w:r>
              <w:rPr>
                <w:rFonts w:hint="eastAsia" w:ascii="仿宋" w:hAnsi="仿宋" w:eastAsia="仿宋"/>
                <w:bCs/>
                <w:kern w:val="0"/>
                <w:sz w:val="30"/>
                <w:szCs w:val="30"/>
                <w:lang w:val="en-US" w:eastAsia="zh-CN"/>
              </w:rPr>
              <w:t>尹成刚</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1.落实律师云学院网站系统第二期开发工作；</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2.协助协会动员本委委员参加2021年度深圳市社会组织管理局的社会组织评估专家库的报名事宜；</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3.对9、10月份律师学院举办或承办的8场培训，进行学分录入；</w:t>
            </w:r>
          </w:p>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4.对10,11月份律师学院已举办或拟举办的12场培训进行学分审核。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bCs/>
                <w:kern w:val="0"/>
                <w:sz w:val="30"/>
                <w:szCs w:val="30"/>
              </w:rPr>
              <w:t>2</w:t>
            </w:r>
            <w:r>
              <w:rPr>
                <w:rFonts w:ascii="仿宋" w:hAnsi="仿宋" w:eastAsia="仿宋"/>
                <w:bCs/>
                <w:kern w:val="0"/>
                <w:sz w:val="30"/>
                <w:szCs w:val="30"/>
              </w:rPr>
              <w:t>0</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kern w:val="0"/>
                <w:sz w:val="30"/>
                <w:szCs w:val="30"/>
                <w:highlight w:val="none"/>
                <w14:textFill>
                  <w14:solidFill>
                    <w14:schemeClr w14:val="tx1"/>
                  </w14:solidFill>
                </w14:textFill>
              </w:rPr>
              <w:t>宣传工作委员会</w:t>
            </w:r>
          </w:p>
        </w:tc>
        <w:tc>
          <w:tcPr>
            <w:tcW w:w="1418"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bCs/>
                <w:color w:val="000000" w:themeColor="text1"/>
                <w:kern w:val="0"/>
                <w:sz w:val="30"/>
                <w:szCs w:val="30"/>
                <w14:textFill>
                  <w14:solidFill>
                    <w14:schemeClr w14:val="tx1"/>
                  </w14:solidFill>
                </w14:textFill>
              </w:rPr>
              <w:t>陈伟</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bCs/>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val="en-US" w:eastAsia="zh-CN"/>
              </w:rPr>
            </w:pPr>
            <w:r>
              <w:rPr>
                <w:rFonts w:hint="eastAsia" w:ascii="仿宋" w:hAnsi="仿宋" w:eastAsia="仿宋"/>
                <w:bCs/>
                <w:kern w:val="0"/>
                <w:sz w:val="30"/>
                <w:szCs w:val="30"/>
                <w:lang w:val="en-US" w:eastAsia="zh-CN"/>
              </w:rPr>
              <w:t>1.征集“学党史感党恩跟党走”——广东省司法行政系统庆祝中国共产党成立100周年专题艺术创作征集展览活动作品；</w:t>
            </w:r>
          </w:p>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2.征集关于民法典相关的典型案例。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21</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公共关系工作委员会</w:t>
            </w:r>
          </w:p>
        </w:tc>
        <w:tc>
          <w:tcPr>
            <w:tcW w:w="1418"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丁超群</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曾迈</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1.</w:t>
            </w:r>
            <w:r>
              <w:rPr>
                <w:rFonts w:hint="eastAsia" w:ascii="仿宋" w:hAnsi="仿宋" w:eastAsia="仿宋"/>
                <w:bCs/>
                <w:kern w:val="0"/>
                <w:sz w:val="30"/>
                <w:szCs w:val="30"/>
              </w:rPr>
              <w:t>参予党建活动，督促11家所完成党建任务。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22</w:t>
            </w:r>
          </w:p>
        </w:tc>
        <w:tc>
          <w:tcPr>
            <w:tcW w:w="2947" w:type="dxa"/>
            <w:shd w:val="clear" w:color="auto" w:fill="auto"/>
            <w:vAlign w:val="center"/>
          </w:tcPr>
          <w:p>
            <w:pPr>
              <w:widowControl/>
              <w:spacing w:line="56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律师事务所管理与</w:t>
            </w:r>
          </w:p>
          <w:p>
            <w:pPr>
              <w:widowControl/>
              <w:spacing w:line="400" w:lineRule="exact"/>
              <w:jc w:val="center"/>
              <w:rPr>
                <w:rFonts w:ascii="仿宋" w:hAnsi="仿宋" w:eastAsia="仿宋"/>
                <w:bCs/>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合作促进委员会</w:t>
            </w:r>
          </w:p>
        </w:tc>
        <w:tc>
          <w:tcPr>
            <w:tcW w:w="1418"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罗振辉</w:t>
            </w:r>
          </w:p>
        </w:tc>
        <w:tc>
          <w:tcPr>
            <w:tcW w:w="1559" w:type="dxa"/>
            <w:shd w:val="clear" w:color="auto" w:fill="auto"/>
            <w:vAlign w:val="center"/>
          </w:tcPr>
          <w:p>
            <w:pPr>
              <w:widowControl/>
              <w:spacing w:line="560" w:lineRule="exact"/>
              <w:jc w:val="center"/>
              <w:rPr>
                <w:rFonts w:hint="eastAsia" w:ascii="仿宋" w:hAnsi="仿宋" w:eastAsia="仿宋"/>
                <w:bCs/>
                <w:kern w:val="0"/>
                <w:sz w:val="30"/>
                <w:szCs w:val="30"/>
                <w:lang w:eastAsia="zh-CN"/>
              </w:rPr>
            </w:pPr>
            <w:r>
              <w:rPr>
                <w:rFonts w:hint="eastAsia" w:ascii="仿宋" w:hAnsi="仿宋" w:eastAsia="仿宋"/>
                <w:color w:val="000000"/>
                <w:kern w:val="0"/>
                <w:sz w:val="30"/>
                <w:szCs w:val="30"/>
                <w:lang w:val="en-US" w:eastAsia="zh-CN"/>
              </w:rPr>
              <w:t>章成</w:t>
            </w:r>
          </w:p>
        </w:tc>
        <w:tc>
          <w:tcPr>
            <w:tcW w:w="8653"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bCs/>
                <w:kern w:val="0"/>
                <w:sz w:val="30"/>
                <w:szCs w:val="30"/>
                <w:lang w:eastAsia="zh-CN"/>
              </w:rPr>
            </w:pPr>
            <w:r>
              <w:rPr>
                <w:rFonts w:hint="eastAsia" w:ascii="仿宋" w:hAnsi="仿宋" w:eastAsia="仿宋"/>
                <w:bCs/>
                <w:kern w:val="0"/>
                <w:sz w:val="30"/>
                <w:szCs w:val="30"/>
                <w:lang w:val="en-US" w:eastAsia="zh-CN"/>
              </w:rPr>
              <w:t>1</w:t>
            </w:r>
            <w:r>
              <w:rPr>
                <w:rFonts w:hint="eastAsia" w:ascii="仿宋" w:hAnsi="仿宋" w:eastAsia="仿宋"/>
                <w:bCs/>
                <w:kern w:val="0"/>
                <w:sz w:val="30"/>
                <w:szCs w:val="30"/>
              </w:rPr>
              <w:t>.10月29日，在市律协参加重庆市律师协会秘书长肖华等一行22人就渝深律师行业联合发展及招商引智到访交流会，针对在渝开办律所工作流程、境外律所设立代表处（联营）及江北区、两江新区财政扶持政策的相关细节进行了深入探讨</w:t>
            </w:r>
            <w:r>
              <w:rPr>
                <w:rFonts w:hint="eastAsia" w:ascii="仿宋" w:hAnsi="仿宋" w:eastAsia="仿宋"/>
                <w:bCs/>
                <w:kern w:val="0"/>
                <w:sz w:val="30"/>
                <w:szCs w:val="30"/>
                <w:lang w:eastAsia="zh-CN"/>
              </w:rPr>
              <w:t>；</w:t>
            </w:r>
          </w:p>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bCs/>
                <w:kern w:val="0"/>
                <w:sz w:val="30"/>
                <w:szCs w:val="30"/>
                <w:lang w:eastAsia="zh-CN"/>
              </w:rPr>
            </w:pPr>
            <w:r>
              <w:rPr>
                <w:rFonts w:hint="eastAsia" w:ascii="仿宋" w:hAnsi="仿宋" w:eastAsia="仿宋"/>
                <w:bCs/>
                <w:kern w:val="0"/>
                <w:sz w:val="30"/>
                <w:szCs w:val="30"/>
                <w:lang w:val="en-US" w:eastAsia="zh-CN"/>
              </w:rPr>
              <w:t>2</w:t>
            </w:r>
            <w:r>
              <w:rPr>
                <w:rFonts w:hint="eastAsia" w:ascii="仿宋" w:hAnsi="仿宋" w:eastAsia="仿宋"/>
                <w:bCs/>
                <w:kern w:val="0"/>
                <w:sz w:val="30"/>
                <w:szCs w:val="30"/>
              </w:rPr>
              <w:t>.10月30日，与深圳蓝凌软件就深圳律师智慧系统10月份收到到的的反馈进行商议，积极对已发现问题进行调整，完善配置</w:t>
            </w:r>
            <w:r>
              <w:rPr>
                <w:rFonts w:hint="eastAsia" w:ascii="仿宋" w:hAnsi="仿宋" w:eastAsia="仿宋"/>
                <w:bCs/>
                <w:kern w:val="0"/>
                <w:sz w:val="30"/>
                <w:szCs w:val="30"/>
                <w:lang w:eastAsia="zh-CN"/>
              </w:rPr>
              <w:t>；</w:t>
            </w:r>
          </w:p>
          <w:p>
            <w:pPr>
              <w:keepNext w:val="0"/>
              <w:keepLines w:val="0"/>
              <w:pageBreakBefore w:val="0"/>
              <w:widowControl/>
              <w:numPr>
                <w:ilvl w:val="0"/>
                <w:numId w:val="0"/>
              </w:numPr>
              <w:kinsoku/>
              <w:wordWrap/>
              <w:overflowPunct/>
              <w:topLinePunct w:val="0"/>
              <w:autoSpaceDE/>
              <w:autoSpaceDN/>
              <w:bidi w:val="0"/>
              <w:spacing w:line="560" w:lineRule="exact"/>
              <w:ind w:leftChars="0"/>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3.</w:t>
            </w:r>
            <w:r>
              <w:rPr>
                <w:rFonts w:hint="eastAsia" w:ascii="仿宋" w:hAnsi="仿宋" w:eastAsia="仿宋"/>
                <w:bCs/>
                <w:kern w:val="0"/>
                <w:sz w:val="30"/>
                <w:szCs w:val="30"/>
              </w:rPr>
              <w:t>9月31日，逐一确认“深圳智慧律师系统软件开发”项目验收报告内容中17条问题做备忘补充合同，和深圳蓝凌软件公司达成协议，支付项目尾款。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23</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青年律师工作委员会</w:t>
            </w:r>
          </w:p>
        </w:tc>
        <w:tc>
          <w:tcPr>
            <w:tcW w:w="1418"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王伟</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eastAsia="zh-CN"/>
              </w:rPr>
            </w:pPr>
            <w:r>
              <w:rPr>
                <w:rFonts w:hint="eastAsia" w:ascii="仿宋" w:hAnsi="仿宋" w:eastAsia="仿宋"/>
                <w:bCs/>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24</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中小型</w:t>
            </w:r>
            <w:r>
              <w:rPr>
                <w:rFonts w:ascii="仿宋" w:hAnsi="仿宋" w:eastAsia="仿宋"/>
                <w:color w:val="000000" w:themeColor="text1"/>
                <w:kern w:val="0"/>
                <w:sz w:val="30"/>
                <w:szCs w:val="30"/>
                <w:highlight w:val="none"/>
                <w14:textFill>
                  <w14:solidFill>
                    <w14:schemeClr w14:val="tx1"/>
                  </w14:solidFill>
                </w14:textFill>
              </w:rPr>
              <w:t>律师事务所</w:t>
            </w:r>
            <w:r>
              <w:rPr>
                <w:rFonts w:hint="eastAsia" w:ascii="仿宋" w:hAnsi="仿宋" w:eastAsia="仿宋"/>
                <w:color w:val="000000" w:themeColor="text1"/>
                <w:kern w:val="0"/>
                <w:sz w:val="30"/>
                <w:szCs w:val="30"/>
                <w:highlight w:val="none"/>
                <w14:textFill>
                  <w14:solidFill>
                    <w14:schemeClr w14:val="tx1"/>
                  </w14:solidFill>
                </w14:textFill>
              </w:rPr>
              <w:t xml:space="preserve"> </w:t>
            </w:r>
            <w:r>
              <w:rPr>
                <w:rFonts w:ascii="仿宋" w:hAnsi="仿宋" w:eastAsia="仿宋"/>
                <w:color w:val="000000" w:themeColor="text1"/>
                <w:kern w:val="0"/>
                <w:sz w:val="30"/>
                <w:szCs w:val="30"/>
                <w:highlight w:val="none"/>
                <w14:textFill>
                  <w14:solidFill>
                    <w14:schemeClr w14:val="tx1"/>
                  </w14:solidFill>
                </w14:textFill>
              </w:rPr>
              <w:t>发展</w:t>
            </w:r>
            <w:r>
              <w:rPr>
                <w:rFonts w:hint="eastAsia" w:ascii="仿宋" w:hAnsi="仿宋" w:eastAsia="仿宋"/>
                <w:color w:val="000000" w:themeColor="text1"/>
                <w:kern w:val="0"/>
                <w:sz w:val="30"/>
                <w:szCs w:val="30"/>
                <w:highlight w:val="none"/>
                <w14:textFill>
                  <w14:solidFill>
                    <w14:schemeClr w14:val="tx1"/>
                  </w14:solidFill>
                </w14:textFill>
              </w:rPr>
              <w:t>与</w:t>
            </w:r>
            <w:r>
              <w:rPr>
                <w:rFonts w:ascii="仿宋" w:hAnsi="仿宋" w:eastAsia="仿宋"/>
                <w:color w:val="000000" w:themeColor="text1"/>
                <w:kern w:val="0"/>
                <w:sz w:val="30"/>
                <w:szCs w:val="30"/>
                <w:highlight w:val="none"/>
                <w14:textFill>
                  <w14:solidFill>
                    <w14:schemeClr w14:val="tx1"/>
                  </w14:solidFill>
                </w14:textFill>
              </w:rPr>
              <w:t>指导委员会</w:t>
            </w:r>
          </w:p>
        </w:tc>
        <w:tc>
          <w:tcPr>
            <w:tcW w:w="1418"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余招胜</w:t>
            </w:r>
          </w:p>
        </w:tc>
        <w:tc>
          <w:tcPr>
            <w:tcW w:w="1559" w:type="dxa"/>
            <w:shd w:val="clear" w:color="auto" w:fill="auto"/>
            <w:vAlign w:val="center"/>
          </w:tcPr>
          <w:p>
            <w:pPr>
              <w:widowControl/>
              <w:spacing w:line="560" w:lineRule="exact"/>
              <w:jc w:val="center"/>
              <w:rPr>
                <w:rFonts w:ascii="仿宋" w:hAnsi="仿宋" w:eastAsia="仿宋"/>
                <w:bCs/>
                <w:kern w:val="0"/>
                <w:sz w:val="30"/>
                <w:szCs w:val="30"/>
              </w:rPr>
            </w:pPr>
            <w:r>
              <w:rPr>
                <w:rFonts w:hint="eastAsia" w:ascii="仿宋" w:hAnsi="仿宋" w:eastAsia="仿宋"/>
                <w:color w:val="000000"/>
                <w:kern w:val="0"/>
                <w:sz w:val="30"/>
                <w:szCs w:val="30"/>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ascii="仿宋" w:hAnsi="仿宋" w:eastAsia="仿宋"/>
                <w:bCs/>
                <w:kern w:val="0"/>
                <w:sz w:val="30"/>
                <w:szCs w:val="30"/>
              </w:rPr>
            </w:pPr>
            <w:r>
              <w:rPr>
                <w:rFonts w:hint="eastAsia" w:ascii="仿宋" w:hAnsi="仿宋" w:eastAsia="仿宋"/>
                <w:bCs/>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bCs/>
                <w:kern w:val="0"/>
                <w:sz w:val="30"/>
                <w:szCs w:val="30"/>
              </w:rPr>
            </w:pPr>
            <w:r>
              <w:rPr>
                <w:rFonts w:hint="eastAsia" w:ascii="仿宋" w:hAnsi="仿宋" w:eastAsia="仿宋"/>
                <w:color w:val="000000"/>
                <w:kern w:val="0"/>
                <w:sz w:val="30"/>
                <w:szCs w:val="30"/>
              </w:rPr>
              <w:t>25</w:t>
            </w:r>
          </w:p>
        </w:tc>
        <w:tc>
          <w:tcPr>
            <w:tcW w:w="2947" w:type="dxa"/>
            <w:shd w:val="clear" w:color="auto" w:fill="auto"/>
            <w:vAlign w:val="center"/>
          </w:tcPr>
          <w:p>
            <w:pPr>
              <w:widowControl/>
              <w:spacing w:line="40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规章制度工作委员会</w:t>
            </w:r>
          </w:p>
        </w:tc>
        <w:tc>
          <w:tcPr>
            <w:tcW w:w="1418"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兰才明</w:t>
            </w:r>
          </w:p>
        </w:tc>
        <w:tc>
          <w:tcPr>
            <w:tcW w:w="1559" w:type="dxa"/>
            <w:shd w:val="clear" w:color="auto" w:fill="auto"/>
            <w:vAlign w:val="center"/>
          </w:tcPr>
          <w:p>
            <w:pPr>
              <w:widowControl/>
              <w:spacing w:line="560" w:lineRule="exact"/>
              <w:jc w:val="center"/>
              <w:rPr>
                <w:rFonts w:ascii="仿宋" w:hAnsi="仿宋" w:eastAsia="仿宋"/>
                <w:bCs/>
                <w:color w:val="000000" w:themeColor="text1"/>
                <w:kern w:val="0"/>
                <w:sz w:val="30"/>
                <w:szCs w:val="30"/>
                <w14:textFill>
                  <w14:solidFill>
                    <w14:schemeClr w14:val="tx1"/>
                  </w14:solidFill>
                </w14:textFill>
              </w:rPr>
            </w:pPr>
            <w:r>
              <w:rPr>
                <w:rFonts w:hint="eastAsia" w:ascii="仿宋" w:hAnsi="仿宋" w:eastAsia="仿宋"/>
                <w:color w:val="000000" w:themeColor="text1"/>
                <w:kern w:val="0"/>
                <w:sz w:val="30"/>
                <w:szCs w:val="30"/>
                <w14:textFill>
                  <w14:solidFill>
                    <w14:schemeClr w14:val="tx1"/>
                  </w14:solidFill>
                </w14:textFill>
              </w:rPr>
              <w:t>杨逍</w:t>
            </w:r>
          </w:p>
        </w:tc>
        <w:tc>
          <w:tcPr>
            <w:tcW w:w="8653" w:type="dxa"/>
            <w:shd w:val="clear" w:color="auto" w:fill="auto"/>
            <w:vAlign w:val="center"/>
          </w:tcPr>
          <w:p>
            <w:pPr>
              <w:keepNext w:val="0"/>
              <w:keepLines w:val="0"/>
              <w:pageBreakBefore w:val="0"/>
              <w:widowControl/>
              <w:kinsoku/>
              <w:wordWrap/>
              <w:overflowPunct/>
              <w:topLinePunct w:val="0"/>
              <w:autoSpaceDE/>
              <w:autoSpaceDN/>
              <w:bidi w:val="0"/>
              <w:spacing w:line="560" w:lineRule="exact"/>
              <w:jc w:val="both"/>
              <w:textAlignment w:val="auto"/>
              <w:rPr>
                <w:rFonts w:hint="eastAsia" w:ascii="仿宋" w:hAnsi="仿宋" w:eastAsia="仿宋"/>
                <w:bCs/>
                <w:kern w:val="0"/>
                <w:sz w:val="30"/>
                <w:szCs w:val="30"/>
                <w:lang w:eastAsia="zh-CN"/>
              </w:rPr>
            </w:pPr>
            <w:r>
              <w:rPr>
                <w:rFonts w:hint="eastAsia" w:ascii="仿宋" w:hAnsi="仿宋" w:eastAsia="仿宋"/>
                <w:bCs/>
                <w:kern w:val="0"/>
                <w:sz w:val="30"/>
                <w:szCs w:val="30"/>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30"/>
                <w:szCs w:val="30"/>
              </w:rPr>
            </w:pPr>
            <w:r>
              <w:rPr>
                <w:rFonts w:hint="eastAsia" w:ascii="仿宋" w:hAnsi="仿宋" w:eastAsia="仿宋"/>
                <w:color w:val="000000"/>
                <w:kern w:val="0"/>
                <w:sz w:val="30"/>
                <w:szCs w:val="30"/>
              </w:rPr>
              <w:t>2</w:t>
            </w:r>
            <w:r>
              <w:rPr>
                <w:rFonts w:ascii="仿宋" w:hAnsi="仿宋" w:eastAsia="仿宋"/>
                <w:color w:val="000000"/>
                <w:kern w:val="0"/>
                <w:sz w:val="30"/>
                <w:szCs w:val="30"/>
              </w:rPr>
              <w:t>6</w:t>
            </w:r>
          </w:p>
        </w:tc>
        <w:tc>
          <w:tcPr>
            <w:tcW w:w="2947" w:type="dxa"/>
            <w:shd w:val="clear" w:color="auto" w:fill="auto"/>
            <w:vAlign w:val="center"/>
          </w:tcPr>
          <w:p>
            <w:pPr>
              <w:widowControl/>
              <w:spacing w:line="40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14:textFill>
                  <w14:solidFill>
                    <w14:schemeClr w14:val="tx1"/>
                  </w14:solidFill>
                </w14:textFill>
              </w:rPr>
              <w:t>财务与资产管理委员会</w:t>
            </w:r>
          </w:p>
        </w:tc>
        <w:tc>
          <w:tcPr>
            <w:tcW w:w="1418"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kern w:val="0"/>
                <w:sz w:val="30"/>
                <w:szCs w:val="30"/>
              </w:rPr>
              <w:t>黄文娟</w:t>
            </w:r>
          </w:p>
        </w:tc>
        <w:tc>
          <w:tcPr>
            <w:tcW w:w="1559"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kern w:val="0"/>
                <w:sz w:val="30"/>
                <w:szCs w:val="30"/>
              </w:rPr>
              <w:t>尹成刚</w:t>
            </w:r>
          </w:p>
        </w:tc>
        <w:tc>
          <w:tcPr>
            <w:tcW w:w="8653" w:type="dxa"/>
            <w:shd w:val="clear" w:color="auto" w:fill="auto"/>
            <w:vAlign w:val="center"/>
          </w:tcPr>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kern w:val="0"/>
                <w:sz w:val="30"/>
                <w:szCs w:val="30"/>
              </w:rPr>
            </w:pPr>
            <w:r>
              <w:rPr>
                <w:rFonts w:hint="eastAsia" w:ascii="仿宋" w:hAnsi="仿宋" w:eastAsia="仿宋"/>
                <w:kern w:val="0"/>
                <w:sz w:val="30"/>
                <w:szCs w:val="30"/>
              </w:rPr>
              <w:t>1.10月13日上午，参加深圳市社会组织管理局调研检查接待；</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kern w:val="0"/>
                <w:sz w:val="30"/>
                <w:szCs w:val="30"/>
              </w:rPr>
            </w:pPr>
            <w:r>
              <w:rPr>
                <w:rFonts w:hint="eastAsia" w:ascii="仿宋" w:hAnsi="仿宋" w:eastAsia="仿宋"/>
                <w:kern w:val="0"/>
                <w:sz w:val="30"/>
                <w:szCs w:val="30"/>
              </w:rPr>
              <w:t>2.完成深圳市财政局专项工作底稿文件；</w:t>
            </w:r>
          </w:p>
          <w:p>
            <w:pPr>
              <w:pStyle w:val="17"/>
              <w:keepNext w:val="0"/>
              <w:keepLines w:val="0"/>
              <w:pageBreakBefore w:val="0"/>
              <w:numPr>
                <w:ilvl w:val="0"/>
                <w:numId w:val="0"/>
              </w:numPr>
              <w:kinsoku/>
              <w:wordWrap/>
              <w:overflowPunct/>
              <w:topLinePunct w:val="0"/>
              <w:autoSpaceDE/>
              <w:autoSpaceDN/>
              <w:bidi w:val="0"/>
              <w:spacing w:line="560" w:lineRule="exact"/>
              <w:ind w:leftChars="0"/>
              <w:jc w:val="both"/>
              <w:textAlignment w:val="auto"/>
              <w:rPr>
                <w:rFonts w:hint="eastAsia" w:ascii="仿宋" w:hAnsi="仿宋" w:eastAsia="仿宋"/>
                <w:kern w:val="0"/>
                <w:sz w:val="30"/>
                <w:szCs w:val="30"/>
              </w:rPr>
            </w:pPr>
            <w:r>
              <w:rPr>
                <w:rFonts w:hint="eastAsia" w:ascii="仿宋" w:hAnsi="仿宋" w:eastAsia="仿宋"/>
                <w:kern w:val="0"/>
                <w:sz w:val="30"/>
                <w:szCs w:val="30"/>
              </w:rPr>
              <w:t>3.10月，完成协会日常经费立项审</w:t>
            </w:r>
            <w:bookmarkStart w:id="0" w:name="_GoBack"/>
            <w:bookmarkEnd w:id="0"/>
            <w:r>
              <w:rPr>
                <w:rFonts w:hint="eastAsia" w:ascii="仿宋" w:hAnsi="仿宋" w:eastAsia="仿宋"/>
                <w:kern w:val="0"/>
                <w:sz w:val="30"/>
                <w:szCs w:val="30"/>
              </w:rPr>
              <w:t>批、报销单据审批、救助经费审批等各项审批工作。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17" w:type="dxa"/>
            <w:shd w:val="clear" w:color="auto" w:fill="auto"/>
            <w:vAlign w:val="center"/>
          </w:tcPr>
          <w:p>
            <w:pPr>
              <w:widowControl/>
              <w:adjustRightInd w:val="0"/>
              <w:snapToGrid w:val="0"/>
              <w:spacing w:line="600" w:lineRule="exact"/>
              <w:ind w:firstLine="150" w:firstLineChars="50"/>
              <w:jc w:val="center"/>
              <w:rPr>
                <w:rFonts w:ascii="仿宋" w:hAnsi="仿宋" w:eastAsia="仿宋"/>
                <w:color w:val="000000"/>
                <w:kern w:val="0"/>
                <w:sz w:val="30"/>
                <w:szCs w:val="30"/>
              </w:rPr>
            </w:pPr>
            <w:r>
              <w:rPr>
                <w:rFonts w:hint="eastAsia" w:ascii="仿宋" w:hAnsi="仿宋" w:eastAsia="仿宋"/>
                <w:color w:val="000000"/>
                <w:kern w:val="0"/>
                <w:sz w:val="30"/>
                <w:szCs w:val="30"/>
              </w:rPr>
              <w:t>2</w:t>
            </w:r>
            <w:r>
              <w:rPr>
                <w:rFonts w:ascii="仿宋" w:hAnsi="仿宋" w:eastAsia="仿宋"/>
                <w:color w:val="000000"/>
                <w:kern w:val="0"/>
                <w:sz w:val="30"/>
                <w:szCs w:val="30"/>
              </w:rPr>
              <w:t>7</w:t>
            </w:r>
          </w:p>
        </w:tc>
        <w:tc>
          <w:tcPr>
            <w:tcW w:w="2947" w:type="dxa"/>
            <w:shd w:val="clear" w:color="auto" w:fill="auto"/>
            <w:vAlign w:val="center"/>
          </w:tcPr>
          <w:p>
            <w:pPr>
              <w:widowControl/>
              <w:spacing w:line="400" w:lineRule="exact"/>
              <w:jc w:val="center"/>
              <w:rPr>
                <w:rFonts w:ascii="仿宋" w:hAnsi="仿宋" w:eastAsia="仿宋"/>
                <w:color w:val="000000" w:themeColor="text1"/>
                <w:kern w:val="0"/>
                <w:sz w:val="30"/>
                <w:szCs w:val="30"/>
                <w:highlight w:val="none"/>
                <w14:textFill>
                  <w14:solidFill>
                    <w14:schemeClr w14:val="tx1"/>
                  </w14:solidFill>
                </w14:textFill>
              </w:rPr>
            </w:pPr>
            <w:r>
              <w:rPr>
                <w:rFonts w:hint="eastAsia" w:ascii="仿宋" w:hAnsi="仿宋" w:eastAsia="仿宋"/>
                <w:color w:val="000000" w:themeColor="text1"/>
                <w:kern w:val="0"/>
                <w:sz w:val="30"/>
                <w:szCs w:val="30"/>
                <w:highlight w:val="none"/>
                <w14:textFill>
                  <w14:solidFill>
                    <w14:schemeClr w14:val="tx1"/>
                  </w14:solidFill>
                </w14:textFill>
              </w:rPr>
              <w:t>体育与健康</w:t>
            </w:r>
          </w:p>
          <w:p>
            <w:pPr>
              <w:widowControl/>
              <w:spacing w:line="400" w:lineRule="exact"/>
              <w:jc w:val="center"/>
              <w:rPr>
                <w:rFonts w:ascii="仿宋" w:hAnsi="仿宋" w:eastAsia="仿宋"/>
                <w:color w:val="FF0000"/>
                <w:kern w:val="0"/>
                <w:sz w:val="30"/>
                <w:szCs w:val="30"/>
              </w:rPr>
            </w:pPr>
            <w:r>
              <w:rPr>
                <w:rFonts w:hint="eastAsia" w:ascii="仿宋" w:hAnsi="仿宋" w:eastAsia="仿宋"/>
                <w:color w:val="000000" w:themeColor="text1"/>
                <w:kern w:val="0"/>
                <w:sz w:val="30"/>
                <w:szCs w:val="30"/>
                <w:highlight w:val="none"/>
                <w14:textFill>
                  <w14:solidFill>
                    <w14:schemeClr w14:val="tx1"/>
                  </w14:solidFill>
                </w14:textFill>
              </w:rPr>
              <w:t>工作委员会</w:t>
            </w:r>
          </w:p>
        </w:tc>
        <w:tc>
          <w:tcPr>
            <w:tcW w:w="1418"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color w:val="000000"/>
                <w:kern w:val="0"/>
                <w:sz w:val="30"/>
                <w:szCs w:val="30"/>
              </w:rPr>
              <w:t>傅立标</w:t>
            </w:r>
          </w:p>
        </w:tc>
        <w:tc>
          <w:tcPr>
            <w:tcW w:w="1559" w:type="dxa"/>
            <w:shd w:val="clear" w:color="auto" w:fill="auto"/>
            <w:vAlign w:val="center"/>
          </w:tcPr>
          <w:p>
            <w:pPr>
              <w:widowControl/>
              <w:spacing w:line="560" w:lineRule="exact"/>
              <w:jc w:val="center"/>
              <w:rPr>
                <w:rFonts w:ascii="仿宋" w:hAnsi="仿宋" w:eastAsia="仿宋"/>
                <w:color w:val="000000"/>
                <w:kern w:val="0"/>
                <w:sz w:val="30"/>
                <w:szCs w:val="30"/>
              </w:rPr>
            </w:pPr>
            <w:r>
              <w:rPr>
                <w:rFonts w:hint="eastAsia" w:ascii="仿宋" w:hAnsi="仿宋" w:eastAsia="仿宋"/>
                <w:color w:val="000000"/>
                <w:kern w:val="0"/>
                <w:sz w:val="30"/>
                <w:szCs w:val="30"/>
              </w:rPr>
              <w:t>汪腾锋</w:t>
            </w:r>
          </w:p>
        </w:tc>
        <w:tc>
          <w:tcPr>
            <w:tcW w:w="8653" w:type="dxa"/>
            <w:shd w:val="clear" w:color="auto" w:fill="auto"/>
            <w:vAlign w:val="center"/>
          </w:tcPr>
          <w:p>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kern w:val="0"/>
                <w:sz w:val="30"/>
                <w:szCs w:val="30"/>
              </w:rPr>
            </w:pPr>
            <w:r>
              <w:rPr>
                <w:rFonts w:hint="eastAsia" w:ascii="仿宋" w:hAnsi="仿宋" w:eastAsia="仿宋"/>
                <w:kern w:val="0"/>
                <w:sz w:val="30"/>
                <w:szCs w:val="30"/>
                <w:lang w:val="en-US" w:eastAsia="zh-CN"/>
              </w:rPr>
              <w:t>1.</w:t>
            </w:r>
            <w:r>
              <w:rPr>
                <w:rFonts w:hint="eastAsia" w:ascii="仿宋" w:hAnsi="仿宋" w:eastAsia="仿宋"/>
                <w:kern w:val="0"/>
                <w:sz w:val="30"/>
                <w:szCs w:val="30"/>
              </w:rPr>
              <w:t>举办深圳律师与宝安看守所羽毛球交流赛;</w:t>
            </w:r>
          </w:p>
          <w:p>
            <w:pPr>
              <w:keepNext w:val="0"/>
              <w:keepLines w:val="0"/>
              <w:pageBreakBefore w:val="0"/>
              <w:kinsoku/>
              <w:wordWrap/>
              <w:overflowPunct/>
              <w:topLinePunct w:val="0"/>
              <w:autoSpaceDE/>
              <w:autoSpaceDN/>
              <w:bidi w:val="0"/>
              <w:spacing w:line="560" w:lineRule="exact"/>
              <w:jc w:val="both"/>
              <w:textAlignment w:val="auto"/>
              <w:rPr>
                <w:rFonts w:ascii="仿宋" w:hAnsi="仿宋" w:eastAsia="仿宋"/>
                <w:kern w:val="0"/>
                <w:sz w:val="30"/>
                <w:szCs w:val="30"/>
              </w:rPr>
            </w:pPr>
            <w:r>
              <w:rPr>
                <w:rFonts w:hint="eastAsia" w:ascii="仿宋" w:hAnsi="仿宋" w:eastAsia="仿宋"/>
                <w:kern w:val="0"/>
                <w:sz w:val="30"/>
                <w:szCs w:val="30"/>
                <w:lang w:val="en-US" w:eastAsia="zh-CN"/>
              </w:rPr>
              <w:t>2.</w:t>
            </w:r>
            <w:r>
              <w:rPr>
                <w:rFonts w:hint="eastAsia" w:ascii="仿宋" w:hAnsi="仿宋" w:eastAsia="仿宋"/>
                <w:kern w:val="0"/>
                <w:sz w:val="30"/>
                <w:szCs w:val="30"/>
              </w:rPr>
              <w:t>参加穗深惠佛四地律师羽毛球交流赛。</w:t>
            </w:r>
          </w:p>
        </w:tc>
      </w:tr>
    </w:tbl>
    <w:p>
      <w:pPr>
        <w:adjustRightInd w:val="0"/>
        <w:snapToGrid w:val="0"/>
        <w:spacing w:line="600" w:lineRule="exact"/>
        <w:rPr>
          <w:rFonts w:hint="eastAsia" w:ascii="仿宋" w:hAnsi="仿宋" w:eastAsia="仿宋"/>
          <w:bCs/>
          <w:sz w:val="32"/>
          <w:szCs w:val="32"/>
          <w:lang w:eastAsia="zh-CN"/>
        </w:rPr>
      </w:pPr>
    </w:p>
    <w:sectPr>
      <w:footerReference r:id="rId3" w:type="default"/>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PAGE   \* MERGEFORMAT</w:instrText>
    </w:r>
    <w:r>
      <w:fldChar w:fldCharType="separate"/>
    </w:r>
    <w:r>
      <w:rPr>
        <w:lang w:val="zh-CN"/>
      </w:rPr>
      <w:t>6</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84F"/>
    <w:rsid w:val="000016BB"/>
    <w:rsid w:val="00001F7D"/>
    <w:rsid w:val="0000795B"/>
    <w:rsid w:val="000114F3"/>
    <w:rsid w:val="00012284"/>
    <w:rsid w:val="000122AD"/>
    <w:rsid w:val="00014C49"/>
    <w:rsid w:val="00023CE3"/>
    <w:rsid w:val="0003002A"/>
    <w:rsid w:val="00032AF4"/>
    <w:rsid w:val="0003308C"/>
    <w:rsid w:val="00033A95"/>
    <w:rsid w:val="00034328"/>
    <w:rsid w:val="00034A59"/>
    <w:rsid w:val="00036B57"/>
    <w:rsid w:val="0003702D"/>
    <w:rsid w:val="0004069D"/>
    <w:rsid w:val="0004087A"/>
    <w:rsid w:val="000501D5"/>
    <w:rsid w:val="00052C7A"/>
    <w:rsid w:val="00053952"/>
    <w:rsid w:val="000545C3"/>
    <w:rsid w:val="00057E01"/>
    <w:rsid w:val="000634C5"/>
    <w:rsid w:val="000666F0"/>
    <w:rsid w:val="0007224A"/>
    <w:rsid w:val="000734DE"/>
    <w:rsid w:val="0007378C"/>
    <w:rsid w:val="00074F1C"/>
    <w:rsid w:val="00075092"/>
    <w:rsid w:val="00075243"/>
    <w:rsid w:val="00075F38"/>
    <w:rsid w:val="00080120"/>
    <w:rsid w:val="000804A1"/>
    <w:rsid w:val="000805A9"/>
    <w:rsid w:val="00080E6A"/>
    <w:rsid w:val="00081107"/>
    <w:rsid w:val="00084A62"/>
    <w:rsid w:val="0008590A"/>
    <w:rsid w:val="000875B1"/>
    <w:rsid w:val="000904BD"/>
    <w:rsid w:val="0009517B"/>
    <w:rsid w:val="000A090D"/>
    <w:rsid w:val="000A138D"/>
    <w:rsid w:val="000A69B7"/>
    <w:rsid w:val="000A7488"/>
    <w:rsid w:val="000A7FFA"/>
    <w:rsid w:val="000B1014"/>
    <w:rsid w:val="000B4A40"/>
    <w:rsid w:val="000C1F03"/>
    <w:rsid w:val="000C4D69"/>
    <w:rsid w:val="000D1086"/>
    <w:rsid w:val="000D5462"/>
    <w:rsid w:val="000E0C5A"/>
    <w:rsid w:val="000E2E8E"/>
    <w:rsid w:val="000E38D0"/>
    <w:rsid w:val="000F0CD2"/>
    <w:rsid w:val="000F36C3"/>
    <w:rsid w:val="000F4579"/>
    <w:rsid w:val="000F7C56"/>
    <w:rsid w:val="00101F06"/>
    <w:rsid w:val="001027B7"/>
    <w:rsid w:val="001059D7"/>
    <w:rsid w:val="00112CEC"/>
    <w:rsid w:val="00113450"/>
    <w:rsid w:val="00117662"/>
    <w:rsid w:val="00117791"/>
    <w:rsid w:val="001202F0"/>
    <w:rsid w:val="001258C0"/>
    <w:rsid w:val="00126B2D"/>
    <w:rsid w:val="00126BDD"/>
    <w:rsid w:val="00132DC6"/>
    <w:rsid w:val="001333CB"/>
    <w:rsid w:val="00133B8B"/>
    <w:rsid w:val="00135A36"/>
    <w:rsid w:val="001369C6"/>
    <w:rsid w:val="00137904"/>
    <w:rsid w:val="00140FA6"/>
    <w:rsid w:val="00142899"/>
    <w:rsid w:val="00142C0A"/>
    <w:rsid w:val="001447F1"/>
    <w:rsid w:val="00144EFD"/>
    <w:rsid w:val="00147E18"/>
    <w:rsid w:val="00147F9C"/>
    <w:rsid w:val="00150A09"/>
    <w:rsid w:val="0015293F"/>
    <w:rsid w:val="00152D86"/>
    <w:rsid w:val="00160F22"/>
    <w:rsid w:val="00161B92"/>
    <w:rsid w:val="001642E0"/>
    <w:rsid w:val="00164FE5"/>
    <w:rsid w:val="00165FED"/>
    <w:rsid w:val="00171A43"/>
    <w:rsid w:val="00180E8A"/>
    <w:rsid w:val="001819BD"/>
    <w:rsid w:val="0018368A"/>
    <w:rsid w:val="001847EA"/>
    <w:rsid w:val="00185B9C"/>
    <w:rsid w:val="00190CAA"/>
    <w:rsid w:val="0019104A"/>
    <w:rsid w:val="00192D84"/>
    <w:rsid w:val="00196B68"/>
    <w:rsid w:val="001A1883"/>
    <w:rsid w:val="001A1886"/>
    <w:rsid w:val="001A18D4"/>
    <w:rsid w:val="001A78CE"/>
    <w:rsid w:val="001B5D7D"/>
    <w:rsid w:val="001B67BA"/>
    <w:rsid w:val="001B6EB7"/>
    <w:rsid w:val="001C3F23"/>
    <w:rsid w:val="001D0288"/>
    <w:rsid w:val="001D5A8C"/>
    <w:rsid w:val="001D5D1F"/>
    <w:rsid w:val="001D6CDC"/>
    <w:rsid w:val="001E0F77"/>
    <w:rsid w:val="001E1FD1"/>
    <w:rsid w:val="001F26D7"/>
    <w:rsid w:val="001F4891"/>
    <w:rsid w:val="001F6A6F"/>
    <w:rsid w:val="00207A5C"/>
    <w:rsid w:val="0021084F"/>
    <w:rsid w:val="002131C6"/>
    <w:rsid w:val="00222897"/>
    <w:rsid w:val="00222C42"/>
    <w:rsid w:val="002233F9"/>
    <w:rsid w:val="00224F63"/>
    <w:rsid w:val="00225314"/>
    <w:rsid w:val="002261A6"/>
    <w:rsid w:val="0022766E"/>
    <w:rsid w:val="0023024B"/>
    <w:rsid w:val="00230832"/>
    <w:rsid w:val="002361A0"/>
    <w:rsid w:val="0023770B"/>
    <w:rsid w:val="002404A2"/>
    <w:rsid w:val="002405DF"/>
    <w:rsid w:val="00244028"/>
    <w:rsid w:val="002502EE"/>
    <w:rsid w:val="00250E28"/>
    <w:rsid w:val="00251160"/>
    <w:rsid w:val="0025249B"/>
    <w:rsid w:val="0025266B"/>
    <w:rsid w:val="00253374"/>
    <w:rsid w:val="00255692"/>
    <w:rsid w:val="00256254"/>
    <w:rsid w:val="00256E71"/>
    <w:rsid w:val="002577F2"/>
    <w:rsid w:val="002600F7"/>
    <w:rsid w:val="002632F7"/>
    <w:rsid w:val="002668F3"/>
    <w:rsid w:val="00267416"/>
    <w:rsid w:val="002677FA"/>
    <w:rsid w:val="00271610"/>
    <w:rsid w:val="00271F52"/>
    <w:rsid w:val="00273B52"/>
    <w:rsid w:val="002809D5"/>
    <w:rsid w:val="00285851"/>
    <w:rsid w:val="00286769"/>
    <w:rsid w:val="00286DF0"/>
    <w:rsid w:val="00287D68"/>
    <w:rsid w:val="00290C8E"/>
    <w:rsid w:val="002910A4"/>
    <w:rsid w:val="00292A9A"/>
    <w:rsid w:val="002960A5"/>
    <w:rsid w:val="00296427"/>
    <w:rsid w:val="00296B5D"/>
    <w:rsid w:val="0029726B"/>
    <w:rsid w:val="002A0A5E"/>
    <w:rsid w:val="002A4D34"/>
    <w:rsid w:val="002A7E54"/>
    <w:rsid w:val="002B3064"/>
    <w:rsid w:val="002B46DB"/>
    <w:rsid w:val="002C6984"/>
    <w:rsid w:val="002C6ABF"/>
    <w:rsid w:val="002E321A"/>
    <w:rsid w:val="002E3353"/>
    <w:rsid w:val="002E3980"/>
    <w:rsid w:val="002E4D95"/>
    <w:rsid w:val="002E632D"/>
    <w:rsid w:val="002F2E6A"/>
    <w:rsid w:val="002F3BC9"/>
    <w:rsid w:val="002F4A47"/>
    <w:rsid w:val="0030173B"/>
    <w:rsid w:val="003022E8"/>
    <w:rsid w:val="00303365"/>
    <w:rsid w:val="00305CB7"/>
    <w:rsid w:val="00307AE4"/>
    <w:rsid w:val="003145BC"/>
    <w:rsid w:val="00315B9F"/>
    <w:rsid w:val="0032192E"/>
    <w:rsid w:val="0032689B"/>
    <w:rsid w:val="00330F76"/>
    <w:rsid w:val="00332C9C"/>
    <w:rsid w:val="00332DF1"/>
    <w:rsid w:val="00333800"/>
    <w:rsid w:val="0033660A"/>
    <w:rsid w:val="003375C3"/>
    <w:rsid w:val="00340ADD"/>
    <w:rsid w:val="00341D90"/>
    <w:rsid w:val="003437BC"/>
    <w:rsid w:val="003508EE"/>
    <w:rsid w:val="00362045"/>
    <w:rsid w:val="00362FAD"/>
    <w:rsid w:val="00370A77"/>
    <w:rsid w:val="00372719"/>
    <w:rsid w:val="0037385F"/>
    <w:rsid w:val="00374EF9"/>
    <w:rsid w:val="00374F27"/>
    <w:rsid w:val="00374FFC"/>
    <w:rsid w:val="00375C85"/>
    <w:rsid w:val="00376451"/>
    <w:rsid w:val="0037652F"/>
    <w:rsid w:val="003809E4"/>
    <w:rsid w:val="003858A8"/>
    <w:rsid w:val="00391837"/>
    <w:rsid w:val="00392C1E"/>
    <w:rsid w:val="00395E82"/>
    <w:rsid w:val="00397D5B"/>
    <w:rsid w:val="003A0182"/>
    <w:rsid w:val="003A27A5"/>
    <w:rsid w:val="003A3F39"/>
    <w:rsid w:val="003B13F1"/>
    <w:rsid w:val="003B19C1"/>
    <w:rsid w:val="003B24ED"/>
    <w:rsid w:val="003C10C2"/>
    <w:rsid w:val="003C378F"/>
    <w:rsid w:val="003C40A1"/>
    <w:rsid w:val="003C49C4"/>
    <w:rsid w:val="003D132A"/>
    <w:rsid w:val="003D5DF6"/>
    <w:rsid w:val="003E245C"/>
    <w:rsid w:val="003E3FA4"/>
    <w:rsid w:val="003E520A"/>
    <w:rsid w:val="003E5802"/>
    <w:rsid w:val="003E5FDD"/>
    <w:rsid w:val="003E78DA"/>
    <w:rsid w:val="003F1049"/>
    <w:rsid w:val="003F2F7E"/>
    <w:rsid w:val="003F5923"/>
    <w:rsid w:val="003F7458"/>
    <w:rsid w:val="003F7912"/>
    <w:rsid w:val="004000C2"/>
    <w:rsid w:val="00403E80"/>
    <w:rsid w:val="004102E7"/>
    <w:rsid w:val="00420DC9"/>
    <w:rsid w:val="0042100B"/>
    <w:rsid w:val="0042304A"/>
    <w:rsid w:val="0042411E"/>
    <w:rsid w:val="004241CA"/>
    <w:rsid w:val="00424BEA"/>
    <w:rsid w:val="00424DA6"/>
    <w:rsid w:val="00425514"/>
    <w:rsid w:val="00427923"/>
    <w:rsid w:val="00430E3E"/>
    <w:rsid w:val="004320DC"/>
    <w:rsid w:val="00433000"/>
    <w:rsid w:val="00433072"/>
    <w:rsid w:val="00435712"/>
    <w:rsid w:val="0043674F"/>
    <w:rsid w:val="004367E5"/>
    <w:rsid w:val="00440899"/>
    <w:rsid w:val="00440D12"/>
    <w:rsid w:val="00441125"/>
    <w:rsid w:val="00443BE7"/>
    <w:rsid w:val="004532A4"/>
    <w:rsid w:val="00454701"/>
    <w:rsid w:val="00455D33"/>
    <w:rsid w:val="00456B65"/>
    <w:rsid w:val="004609AC"/>
    <w:rsid w:val="00460F7F"/>
    <w:rsid w:val="00460FA5"/>
    <w:rsid w:val="0047097C"/>
    <w:rsid w:val="00474061"/>
    <w:rsid w:val="00475ED8"/>
    <w:rsid w:val="00475FEF"/>
    <w:rsid w:val="004774EB"/>
    <w:rsid w:val="00481232"/>
    <w:rsid w:val="00481445"/>
    <w:rsid w:val="00483F75"/>
    <w:rsid w:val="00484823"/>
    <w:rsid w:val="00484D11"/>
    <w:rsid w:val="00486415"/>
    <w:rsid w:val="004910B7"/>
    <w:rsid w:val="00494ED9"/>
    <w:rsid w:val="00495EB1"/>
    <w:rsid w:val="004A38A3"/>
    <w:rsid w:val="004A7B45"/>
    <w:rsid w:val="004A7EC1"/>
    <w:rsid w:val="004B40EE"/>
    <w:rsid w:val="004B44DD"/>
    <w:rsid w:val="004B4B2C"/>
    <w:rsid w:val="004B6D20"/>
    <w:rsid w:val="004B7C62"/>
    <w:rsid w:val="004C1127"/>
    <w:rsid w:val="004C5025"/>
    <w:rsid w:val="004C5543"/>
    <w:rsid w:val="004C5FAC"/>
    <w:rsid w:val="004C65D3"/>
    <w:rsid w:val="004D5794"/>
    <w:rsid w:val="004E39DB"/>
    <w:rsid w:val="004F0408"/>
    <w:rsid w:val="004F04DE"/>
    <w:rsid w:val="004F3828"/>
    <w:rsid w:val="004F46BC"/>
    <w:rsid w:val="004F7134"/>
    <w:rsid w:val="00501DD0"/>
    <w:rsid w:val="00503055"/>
    <w:rsid w:val="00504AF6"/>
    <w:rsid w:val="00506713"/>
    <w:rsid w:val="00515644"/>
    <w:rsid w:val="00516D35"/>
    <w:rsid w:val="00526113"/>
    <w:rsid w:val="00526C9C"/>
    <w:rsid w:val="00533619"/>
    <w:rsid w:val="00536F49"/>
    <w:rsid w:val="00543726"/>
    <w:rsid w:val="00543EB7"/>
    <w:rsid w:val="00546231"/>
    <w:rsid w:val="0054659E"/>
    <w:rsid w:val="00547568"/>
    <w:rsid w:val="0055140B"/>
    <w:rsid w:val="00551B2B"/>
    <w:rsid w:val="00552E41"/>
    <w:rsid w:val="00562084"/>
    <w:rsid w:val="00565E4A"/>
    <w:rsid w:val="005700C9"/>
    <w:rsid w:val="00570178"/>
    <w:rsid w:val="00570338"/>
    <w:rsid w:val="005756A5"/>
    <w:rsid w:val="00575DD9"/>
    <w:rsid w:val="00576306"/>
    <w:rsid w:val="00577F10"/>
    <w:rsid w:val="00581699"/>
    <w:rsid w:val="00582409"/>
    <w:rsid w:val="0058594E"/>
    <w:rsid w:val="005861EC"/>
    <w:rsid w:val="005873E6"/>
    <w:rsid w:val="00595AFA"/>
    <w:rsid w:val="00595F0F"/>
    <w:rsid w:val="005960BA"/>
    <w:rsid w:val="00597717"/>
    <w:rsid w:val="005A1AD1"/>
    <w:rsid w:val="005A697E"/>
    <w:rsid w:val="005A6C28"/>
    <w:rsid w:val="005B1194"/>
    <w:rsid w:val="005B17C7"/>
    <w:rsid w:val="005B49F5"/>
    <w:rsid w:val="005C0AC5"/>
    <w:rsid w:val="005C4E9B"/>
    <w:rsid w:val="005C7181"/>
    <w:rsid w:val="005D1393"/>
    <w:rsid w:val="005D408C"/>
    <w:rsid w:val="005E0FAB"/>
    <w:rsid w:val="005E26DB"/>
    <w:rsid w:val="005E4F9A"/>
    <w:rsid w:val="005E4FAE"/>
    <w:rsid w:val="005E5055"/>
    <w:rsid w:val="005E7FB6"/>
    <w:rsid w:val="005F460C"/>
    <w:rsid w:val="005F53F8"/>
    <w:rsid w:val="005F6668"/>
    <w:rsid w:val="006078FE"/>
    <w:rsid w:val="006113E4"/>
    <w:rsid w:val="0061489B"/>
    <w:rsid w:val="0061529C"/>
    <w:rsid w:val="006210AD"/>
    <w:rsid w:val="00621CB1"/>
    <w:rsid w:val="0062540B"/>
    <w:rsid w:val="00626585"/>
    <w:rsid w:val="0064297A"/>
    <w:rsid w:val="006563D2"/>
    <w:rsid w:val="00656C0F"/>
    <w:rsid w:val="00661796"/>
    <w:rsid w:val="00663233"/>
    <w:rsid w:val="00664EEC"/>
    <w:rsid w:val="00671345"/>
    <w:rsid w:val="006719EC"/>
    <w:rsid w:val="00672F73"/>
    <w:rsid w:val="0068209D"/>
    <w:rsid w:val="00682D3A"/>
    <w:rsid w:val="00682E4A"/>
    <w:rsid w:val="00693314"/>
    <w:rsid w:val="00697E67"/>
    <w:rsid w:val="006A0584"/>
    <w:rsid w:val="006A07B6"/>
    <w:rsid w:val="006A24FC"/>
    <w:rsid w:val="006A5E8A"/>
    <w:rsid w:val="006A720C"/>
    <w:rsid w:val="006A7757"/>
    <w:rsid w:val="006A7D65"/>
    <w:rsid w:val="006B2C62"/>
    <w:rsid w:val="006B39A0"/>
    <w:rsid w:val="006C0C94"/>
    <w:rsid w:val="006C1B08"/>
    <w:rsid w:val="006C1C1A"/>
    <w:rsid w:val="006C58C6"/>
    <w:rsid w:val="006C59BC"/>
    <w:rsid w:val="006C610A"/>
    <w:rsid w:val="006C78FE"/>
    <w:rsid w:val="006D1CDB"/>
    <w:rsid w:val="006D2215"/>
    <w:rsid w:val="006D39EB"/>
    <w:rsid w:val="006D4BC7"/>
    <w:rsid w:val="006D5755"/>
    <w:rsid w:val="006E20AB"/>
    <w:rsid w:val="006E7677"/>
    <w:rsid w:val="006F1073"/>
    <w:rsid w:val="006F53D8"/>
    <w:rsid w:val="00701DF7"/>
    <w:rsid w:val="0070572B"/>
    <w:rsid w:val="00706105"/>
    <w:rsid w:val="007068F4"/>
    <w:rsid w:val="007108CF"/>
    <w:rsid w:val="00714464"/>
    <w:rsid w:val="00715111"/>
    <w:rsid w:val="00721F52"/>
    <w:rsid w:val="007231B0"/>
    <w:rsid w:val="0072599E"/>
    <w:rsid w:val="00733769"/>
    <w:rsid w:val="00736A68"/>
    <w:rsid w:val="0073766A"/>
    <w:rsid w:val="00740616"/>
    <w:rsid w:val="0074376A"/>
    <w:rsid w:val="00747FE8"/>
    <w:rsid w:val="0075222C"/>
    <w:rsid w:val="00753FAC"/>
    <w:rsid w:val="007544C5"/>
    <w:rsid w:val="00761A69"/>
    <w:rsid w:val="0076344F"/>
    <w:rsid w:val="007638E5"/>
    <w:rsid w:val="00763D27"/>
    <w:rsid w:val="00767B8B"/>
    <w:rsid w:val="00770576"/>
    <w:rsid w:val="0077086B"/>
    <w:rsid w:val="0077599C"/>
    <w:rsid w:val="00775E9A"/>
    <w:rsid w:val="00782769"/>
    <w:rsid w:val="00782C43"/>
    <w:rsid w:val="0078358D"/>
    <w:rsid w:val="00783D0D"/>
    <w:rsid w:val="00784E67"/>
    <w:rsid w:val="00785C6E"/>
    <w:rsid w:val="00792112"/>
    <w:rsid w:val="00792F21"/>
    <w:rsid w:val="007A3DCC"/>
    <w:rsid w:val="007A41AF"/>
    <w:rsid w:val="007A5415"/>
    <w:rsid w:val="007A54CA"/>
    <w:rsid w:val="007C12A0"/>
    <w:rsid w:val="007C2CB0"/>
    <w:rsid w:val="007C32DB"/>
    <w:rsid w:val="007C32F8"/>
    <w:rsid w:val="007C36B3"/>
    <w:rsid w:val="007C7C4A"/>
    <w:rsid w:val="007D0CA1"/>
    <w:rsid w:val="007D230B"/>
    <w:rsid w:val="007D2534"/>
    <w:rsid w:val="007D698C"/>
    <w:rsid w:val="007E155F"/>
    <w:rsid w:val="007E1C13"/>
    <w:rsid w:val="007E4D4C"/>
    <w:rsid w:val="007F3D49"/>
    <w:rsid w:val="00801E71"/>
    <w:rsid w:val="008063FD"/>
    <w:rsid w:val="00810552"/>
    <w:rsid w:val="008124D2"/>
    <w:rsid w:val="0081298B"/>
    <w:rsid w:val="00812AB3"/>
    <w:rsid w:val="0081351C"/>
    <w:rsid w:val="00814874"/>
    <w:rsid w:val="00814E40"/>
    <w:rsid w:val="00821F0B"/>
    <w:rsid w:val="0082225B"/>
    <w:rsid w:val="00823222"/>
    <w:rsid w:val="00831A2D"/>
    <w:rsid w:val="008331BF"/>
    <w:rsid w:val="0083751A"/>
    <w:rsid w:val="00840C07"/>
    <w:rsid w:val="00841A9F"/>
    <w:rsid w:val="0084552A"/>
    <w:rsid w:val="00845775"/>
    <w:rsid w:val="00846175"/>
    <w:rsid w:val="00850543"/>
    <w:rsid w:val="00857D7B"/>
    <w:rsid w:val="00862174"/>
    <w:rsid w:val="008710D9"/>
    <w:rsid w:val="00874811"/>
    <w:rsid w:val="00883EAB"/>
    <w:rsid w:val="00883FAB"/>
    <w:rsid w:val="00890AC0"/>
    <w:rsid w:val="00891D80"/>
    <w:rsid w:val="00893602"/>
    <w:rsid w:val="00893664"/>
    <w:rsid w:val="008937CC"/>
    <w:rsid w:val="0089585F"/>
    <w:rsid w:val="0089610B"/>
    <w:rsid w:val="008976DF"/>
    <w:rsid w:val="008978B8"/>
    <w:rsid w:val="00897B62"/>
    <w:rsid w:val="00897BA1"/>
    <w:rsid w:val="008A267C"/>
    <w:rsid w:val="008A2FFF"/>
    <w:rsid w:val="008A61BD"/>
    <w:rsid w:val="008B435F"/>
    <w:rsid w:val="008B6A90"/>
    <w:rsid w:val="008C1103"/>
    <w:rsid w:val="008C1BB8"/>
    <w:rsid w:val="008C3718"/>
    <w:rsid w:val="008C4B37"/>
    <w:rsid w:val="008D5B76"/>
    <w:rsid w:val="008E1E67"/>
    <w:rsid w:val="008E313E"/>
    <w:rsid w:val="008E5B2D"/>
    <w:rsid w:val="008E692E"/>
    <w:rsid w:val="008F0573"/>
    <w:rsid w:val="008F27B7"/>
    <w:rsid w:val="008F28A7"/>
    <w:rsid w:val="008F34CA"/>
    <w:rsid w:val="008F46BF"/>
    <w:rsid w:val="00901035"/>
    <w:rsid w:val="00902271"/>
    <w:rsid w:val="00911482"/>
    <w:rsid w:val="00912091"/>
    <w:rsid w:val="00912568"/>
    <w:rsid w:val="0091711E"/>
    <w:rsid w:val="00920497"/>
    <w:rsid w:val="00920D3E"/>
    <w:rsid w:val="009226ED"/>
    <w:rsid w:val="00923608"/>
    <w:rsid w:val="009244CD"/>
    <w:rsid w:val="00926E0F"/>
    <w:rsid w:val="009274FB"/>
    <w:rsid w:val="009328E7"/>
    <w:rsid w:val="00935651"/>
    <w:rsid w:val="00936175"/>
    <w:rsid w:val="009401F0"/>
    <w:rsid w:val="009426EC"/>
    <w:rsid w:val="00944094"/>
    <w:rsid w:val="009478E8"/>
    <w:rsid w:val="00953DA3"/>
    <w:rsid w:val="00954154"/>
    <w:rsid w:val="00956945"/>
    <w:rsid w:val="00962B35"/>
    <w:rsid w:val="00963148"/>
    <w:rsid w:val="00965CF0"/>
    <w:rsid w:val="00970D87"/>
    <w:rsid w:val="0097367F"/>
    <w:rsid w:val="00975768"/>
    <w:rsid w:val="0097597B"/>
    <w:rsid w:val="0097735B"/>
    <w:rsid w:val="009878DF"/>
    <w:rsid w:val="00994E1F"/>
    <w:rsid w:val="009978B8"/>
    <w:rsid w:val="009A09D9"/>
    <w:rsid w:val="009A1775"/>
    <w:rsid w:val="009A2DF2"/>
    <w:rsid w:val="009B0C36"/>
    <w:rsid w:val="009B0DB3"/>
    <w:rsid w:val="009B24AE"/>
    <w:rsid w:val="009B42E7"/>
    <w:rsid w:val="009B6397"/>
    <w:rsid w:val="009B6581"/>
    <w:rsid w:val="009B76AA"/>
    <w:rsid w:val="009C3EE8"/>
    <w:rsid w:val="009C403B"/>
    <w:rsid w:val="009C748B"/>
    <w:rsid w:val="009D6510"/>
    <w:rsid w:val="009D7B56"/>
    <w:rsid w:val="009E10CA"/>
    <w:rsid w:val="009E2DCC"/>
    <w:rsid w:val="009E4289"/>
    <w:rsid w:val="009E51C2"/>
    <w:rsid w:val="009F3E73"/>
    <w:rsid w:val="009F527B"/>
    <w:rsid w:val="009F5E8C"/>
    <w:rsid w:val="00A0169F"/>
    <w:rsid w:val="00A0329D"/>
    <w:rsid w:val="00A06724"/>
    <w:rsid w:val="00A134F9"/>
    <w:rsid w:val="00A15106"/>
    <w:rsid w:val="00A16CBB"/>
    <w:rsid w:val="00A17520"/>
    <w:rsid w:val="00A20BA6"/>
    <w:rsid w:val="00A231B0"/>
    <w:rsid w:val="00A24EE6"/>
    <w:rsid w:val="00A24EEE"/>
    <w:rsid w:val="00A270E1"/>
    <w:rsid w:val="00A279AA"/>
    <w:rsid w:val="00A311B9"/>
    <w:rsid w:val="00A32771"/>
    <w:rsid w:val="00A456F4"/>
    <w:rsid w:val="00A47FF7"/>
    <w:rsid w:val="00A50E75"/>
    <w:rsid w:val="00A54031"/>
    <w:rsid w:val="00A54B78"/>
    <w:rsid w:val="00A5509C"/>
    <w:rsid w:val="00A56C96"/>
    <w:rsid w:val="00A57A34"/>
    <w:rsid w:val="00A65B36"/>
    <w:rsid w:val="00A65DC7"/>
    <w:rsid w:val="00A732B6"/>
    <w:rsid w:val="00A73CEC"/>
    <w:rsid w:val="00A777B9"/>
    <w:rsid w:val="00A80497"/>
    <w:rsid w:val="00A80F9B"/>
    <w:rsid w:val="00A8292E"/>
    <w:rsid w:val="00A83584"/>
    <w:rsid w:val="00A84AAB"/>
    <w:rsid w:val="00A86CE3"/>
    <w:rsid w:val="00A87E56"/>
    <w:rsid w:val="00A9067A"/>
    <w:rsid w:val="00A954A4"/>
    <w:rsid w:val="00A96810"/>
    <w:rsid w:val="00A96BB1"/>
    <w:rsid w:val="00AA5C2E"/>
    <w:rsid w:val="00AB5694"/>
    <w:rsid w:val="00AB623F"/>
    <w:rsid w:val="00AB63BA"/>
    <w:rsid w:val="00AB6A1E"/>
    <w:rsid w:val="00AC0C38"/>
    <w:rsid w:val="00AC4929"/>
    <w:rsid w:val="00AC49A6"/>
    <w:rsid w:val="00AC543D"/>
    <w:rsid w:val="00AC58AF"/>
    <w:rsid w:val="00AD1AEF"/>
    <w:rsid w:val="00AD256A"/>
    <w:rsid w:val="00AD353E"/>
    <w:rsid w:val="00AD3DF7"/>
    <w:rsid w:val="00AE087E"/>
    <w:rsid w:val="00AE0AEA"/>
    <w:rsid w:val="00AE2327"/>
    <w:rsid w:val="00AE3511"/>
    <w:rsid w:val="00AE64D1"/>
    <w:rsid w:val="00AE6DC5"/>
    <w:rsid w:val="00AF770E"/>
    <w:rsid w:val="00B05191"/>
    <w:rsid w:val="00B06A03"/>
    <w:rsid w:val="00B107F4"/>
    <w:rsid w:val="00B1111E"/>
    <w:rsid w:val="00B11803"/>
    <w:rsid w:val="00B11C5A"/>
    <w:rsid w:val="00B1339E"/>
    <w:rsid w:val="00B157BC"/>
    <w:rsid w:val="00B15880"/>
    <w:rsid w:val="00B20D92"/>
    <w:rsid w:val="00B21185"/>
    <w:rsid w:val="00B21C04"/>
    <w:rsid w:val="00B21FC5"/>
    <w:rsid w:val="00B24688"/>
    <w:rsid w:val="00B27A0C"/>
    <w:rsid w:val="00B3148E"/>
    <w:rsid w:val="00B33360"/>
    <w:rsid w:val="00B363B7"/>
    <w:rsid w:val="00B410D4"/>
    <w:rsid w:val="00B4131C"/>
    <w:rsid w:val="00B47957"/>
    <w:rsid w:val="00B53834"/>
    <w:rsid w:val="00B5480D"/>
    <w:rsid w:val="00B5727D"/>
    <w:rsid w:val="00B62585"/>
    <w:rsid w:val="00B6462C"/>
    <w:rsid w:val="00B64679"/>
    <w:rsid w:val="00B64F77"/>
    <w:rsid w:val="00B663B6"/>
    <w:rsid w:val="00B705B9"/>
    <w:rsid w:val="00B7068B"/>
    <w:rsid w:val="00B70803"/>
    <w:rsid w:val="00B74265"/>
    <w:rsid w:val="00B82E71"/>
    <w:rsid w:val="00B85CA6"/>
    <w:rsid w:val="00B904FE"/>
    <w:rsid w:val="00B91DA1"/>
    <w:rsid w:val="00B92A6B"/>
    <w:rsid w:val="00B92BE4"/>
    <w:rsid w:val="00B9379E"/>
    <w:rsid w:val="00B94B5E"/>
    <w:rsid w:val="00B9786F"/>
    <w:rsid w:val="00BA260A"/>
    <w:rsid w:val="00BA7070"/>
    <w:rsid w:val="00BA70F6"/>
    <w:rsid w:val="00BB0BFC"/>
    <w:rsid w:val="00BB1D47"/>
    <w:rsid w:val="00BB1FA7"/>
    <w:rsid w:val="00BB7FF2"/>
    <w:rsid w:val="00BC0D6C"/>
    <w:rsid w:val="00BC2771"/>
    <w:rsid w:val="00BC2E43"/>
    <w:rsid w:val="00BC372C"/>
    <w:rsid w:val="00BC7BCD"/>
    <w:rsid w:val="00BD55A2"/>
    <w:rsid w:val="00BE301F"/>
    <w:rsid w:val="00BE7D3E"/>
    <w:rsid w:val="00BF3ED8"/>
    <w:rsid w:val="00C02124"/>
    <w:rsid w:val="00C02DF5"/>
    <w:rsid w:val="00C152F8"/>
    <w:rsid w:val="00C1733B"/>
    <w:rsid w:val="00C2235A"/>
    <w:rsid w:val="00C237CF"/>
    <w:rsid w:val="00C23ADA"/>
    <w:rsid w:val="00C24715"/>
    <w:rsid w:val="00C24BBF"/>
    <w:rsid w:val="00C25FC4"/>
    <w:rsid w:val="00C272C5"/>
    <w:rsid w:val="00C357EF"/>
    <w:rsid w:val="00C35DFF"/>
    <w:rsid w:val="00C36097"/>
    <w:rsid w:val="00C459AF"/>
    <w:rsid w:val="00C45D53"/>
    <w:rsid w:val="00C520FF"/>
    <w:rsid w:val="00C53D20"/>
    <w:rsid w:val="00C5747C"/>
    <w:rsid w:val="00C62041"/>
    <w:rsid w:val="00C64D03"/>
    <w:rsid w:val="00C66A43"/>
    <w:rsid w:val="00C70D1D"/>
    <w:rsid w:val="00C71B48"/>
    <w:rsid w:val="00C72879"/>
    <w:rsid w:val="00C72FE3"/>
    <w:rsid w:val="00C74A88"/>
    <w:rsid w:val="00C74CAE"/>
    <w:rsid w:val="00C77490"/>
    <w:rsid w:val="00C77C14"/>
    <w:rsid w:val="00C80D00"/>
    <w:rsid w:val="00C83912"/>
    <w:rsid w:val="00C843AA"/>
    <w:rsid w:val="00C85B5A"/>
    <w:rsid w:val="00C86065"/>
    <w:rsid w:val="00C9181E"/>
    <w:rsid w:val="00C92427"/>
    <w:rsid w:val="00CA0280"/>
    <w:rsid w:val="00CA40E8"/>
    <w:rsid w:val="00CA4424"/>
    <w:rsid w:val="00CA4EDA"/>
    <w:rsid w:val="00CA528B"/>
    <w:rsid w:val="00CA7F54"/>
    <w:rsid w:val="00CB159C"/>
    <w:rsid w:val="00CB2037"/>
    <w:rsid w:val="00CB3AD9"/>
    <w:rsid w:val="00CB464D"/>
    <w:rsid w:val="00CB6DBD"/>
    <w:rsid w:val="00CC55A4"/>
    <w:rsid w:val="00CD16F0"/>
    <w:rsid w:val="00CD2A62"/>
    <w:rsid w:val="00CD52AA"/>
    <w:rsid w:val="00CD7F52"/>
    <w:rsid w:val="00CE1665"/>
    <w:rsid w:val="00CE28DB"/>
    <w:rsid w:val="00CE434E"/>
    <w:rsid w:val="00CF6ED7"/>
    <w:rsid w:val="00D0080F"/>
    <w:rsid w:val="00D122E1"/>
    <w:rsid w:val="00D12696"/>
    <w:rsid w:val="00D12C23"/>
    <w:rsid w:val="00D12ECB"/>
    <w:rsid w:val="00D15AB9"/>
    <w:rsid w:val="00D17D84"/>
    <w:rsid w:val="00D228F8"/>
    <w:rsid w:val="00D22B18"/>
    <w:rsid w:val="00D23426"/>
    <w:rsid w:val="00D2594E"/>
    <w:rsid w:val="00D31688"/>
    <w:rsid w:val="00D32601"/>
    <w:rsid w:val="00D34287"/>
    <w:rsid w:val="00D34F41"/>
    <w:rsid w:val="00D3768A"/>
    <w:rsid w:val="00D4168A"/>
    <w:rsid w:val="00D42513"/>
    <w:rsid w:val="00D4320F"/>
    <w:rsid w:val="00D45562"/>
    <w:rsid w:val="00D45580"/>
    <w:rsid w:val="00D501AF"/>
    <w:rsid w:val="00D51F6C"/>
    <w:rsid w:val="00D53175"/>
    <w:rsid w:val="00D542DC"/>
    <w:rsid w:val="00D5541D"/>
    <w:rsid w:val="00D5548C"/>
    <w:rsid w:val="00D559CD"/>
    <w:rsid w:val="00D63A22"/>
    <w:rsid w:val="00D6604D"/>
    <w:rsid w:val="00D665EF"/>
    <w:rsid w:val="00D703A2"/>
    <w:rsid w:val="00D710D3"/>
    <w:rsid w:val="00D82338"/>
    <w:rsid w:val="00D82C47"/>
    <w:rsid w:val="00D941A3"/>
    <w:rsid w:val="00D941EC"/>
    <w:rsid w:val="00D96D97"/>
    <w:rsid w:val="00DA1AD1"/>
    <w:rsid w:val="00DA1B03"/>
    <w:rsid w:val="00DA1C54"/>
    <w:rsid w:val="00DB0851"/>
    <w:rsid w:val="00DB0883"/>
    <w:rsid w:val="00DC066E"/>
    <w:rsid w:val="00DC1F7B"/>
    <w:rsid w:val="00DC4B82"/>
    <w:rsid w:val="00DC5152"/>
    <w:rsid w:val="00DC6DAE"/>
    <w:rsid w:val="00DC7C17"/>
    <w:rsid w:val="00DC7FA6"/>
    <w:rsid w:val="00DD0081"/>
    <w:rsid w:val="00DD1764"/>
    <w:rsid w:val="00DD3289"/>
    <w:rsid w:val="00DD39CA"/>
    <w:rsid w:val="00DD3BFC"/>
    <w:rsid w:val="00DD5B3A"/>
    <w:rsid w:val="00DE2E89"/>
    <w:rsid w:val="00DE50D1"/>
    <w:rsid w:val="00DF1AA4"/>
    <w:rsid w:val="00DF2D93"/>
    <w:rsid w:val="00E0328D"/>
    <w:rsid w:val="00E05730"/>
    <w:rsid w:val="00E05E9C"/>
    <w:rsid w:val="00E068F7"/>
    <w:rsid w:val="00E069D0"/>
    <w:rsid w:val="00E06C27"/>
    <w:rsid w:val="00E22E6F"/>
    <w:rsid w:val="00E2462B"/>
    <w:rsid w:val="00E251BA"/>
    <w:rsid w:val="00E2683E"/>
    <w:rsid w:val="00E3156E"/>
    <w:rsid w:val="00E33ABB"/>
    <w:rsid w:val="00E34C7E"/>
    <w:rsid w:val="00E3625E"/>
    <w:rsid w:val="00E41D56"/>
    <w:rsid w:val="00E44618"/>
    <w:rsid w:val="00E44742"/>
    <w:rsid w:val="00E528F5"/>
    <w:rsid w:val="00E54E6D"/>
    <w:rsid w:val="00E61986"/>
    <w:rsid w:val="00E6235D"/>
    <w:rsid w:val="00E64384"/>
    <w:rsid w:val="00E6556E"/>
    <w:rsid w:val="00E66921"/>
    <w:rsid w:val="00E82F48"/>
    <w:rsid w:val="00E85672"/>
    <w:rsid w:val="00E86037"/>
    <w:rsid w:val="00E90C59"/>
    <w:rsid w:val="00E90C8A"/>
    <w:rsid w:val="00E90FBE"/>
    <w:rsid w:val="00E9366E"/>
    <w:rsid w:val="00E96856"/>
    <w:rsid w:val="00E96BFE"/>
    <w:rsid w:val="00EA5899"/>
    <w:rsid w:val="00EA5A09"/>
    <w:rsid w:val="00EB0F1C"/>
    <w:rsid w:val="00EB4244"/>
    <w:rsid w:val="00EB4B9E"/>
    <w:rsid w:val="00EB4D17"/>
    <w:rsid w:val="00EC384C"/>
    <w:rsid w:val="00EC6DD8"/>
    <w:rsid w:val="00ED0FBC"/>
    <w:rsid w:val="00ED1A41"/>
    <w:rsid w:val="00ED4E35"/>
    <w:rsid w:val="00ED6E2D"/>
    <w:rsid w:val="00EE372A"/>
    <w:rsid w:val="00EE37B5"/>
    <w:rsid w:val="00EE6BFE"/>
    <w:rsid w:val="00EE6E10"/>
    <w:rsid w:val="00EF6C06"/>
    <w:rsid w:val="00EF7ABC"/>
    <w:rsid w:val="00EF7ADB"/>
    <w:rsid w:val="00F060E7"/>
    <w:rsid w:val="00F06B32"/>
    <w:rsid w:val="00F07317"/>
    <w:rsid w:val="00F073C3"/>
    <w:rsid w:val="00F07C44"/>
    <w:rsid w:val="00F1011D"/>
    <w:rsid w:val="00F131D7"/>
    <w:rsid w:val="00F14816"/>
    <w:rsid w:val="00F14C6D"/>
    <w:rsid w:val="00F2228E"/>
    <w:rsid w:val="00F245B2"/>
    <w:rsid w:val="00F25122"/>
    <w:rsid w:val="00F25CD9"/>
    <w:rsid w:val="00F273E9"/>
    <w:rsid w:val="00F34722"/>
    <w:rsid w:val="00F34D97"/>
    <w:rsid w:val="00F36229"/>
    <w:rsid w:val="00F373E6"/>
    <w:rsid w:val="00F43D6F"/>
    <w:rsid w:val="00F449BC"/>
    <w:rsid w:val="00F47D0C"/>
    <w:rsid w:val="00F54917"/>
    <w:rsid w:val="00F553E8"/>
    <w:rsid w:val="00F60D41"/>
    <w:rsid w:val="00F630D0"/>
    <w:rsid w:val="00F6406F"/>
    <w:rsid w:val="00F66597"/>
    <w:rsid w:val="00F71A78"/>
    <w:rsid w:val="00F754FC"/>
    <w:rsid w:val="00F7697B"/>
    <w:rsid w:val="00F76D4B"/>
    <w:rsid w:val="00F80835"/>
    <w:rsid w:val="00F81679"/>
    <w:rsid w:val="00F86FA3"/>
    <w:rsid w:val="00F871A7"/>
    <w:rsid w:val="00F904EA"/>
    <w:rsid w:val="00F95397"/>
    <w:rsid w:val="00FA21F8"/>
    <w:rsid w:val="00FA666F"/>
    <w:rsid w:val="00FA6F5F"/>
    <w:rsid w:val="00FA7707"/>
    <w:rsid w:val="00FC0DEB"/>
    <w:rsid w:val="00FC1D34"/>
    <w:rsid w:val="00FC2DC7"/>
    <w:rsid w:val="00FC3492"/>
    <w:rsid w:val="00FC40C6"/>
    <w:rsid w:val="00FC469D"/>
    <w:rsid w:val="00FC4F63"/>
    <w:rsid w:val="00FD05A8"/>
    <w:rsid w:val="00FD2AD1"/>
    <w:rsid w:val="00FD386D"/>
    <w:rsid w:val="00FD4F86"/>
    <w:rsid w:val="00FD6C76"/>
    <w:rsid w:val="00FE4EF1"/>
    <w:rsid w:val="00FE4FBC"/>
    <w:rsid w:val="00FE60D1"/>
    <w:rsid w:val="00FF1C8F"/>
    <w:rsid w:val="00FF4866"/>
    <w:rsid w:val="00FF61ED"/>
    <w:rsid w:val="03277C08"/>
    <w:rsid w:val="03A8261F"/>
    <w:rsid w:val="03FB37B2"/>
    <w:rsid w:val="0B530777"/>
    <w:rsid w:val="0C993AE8"/>
    <w:rsid w:val="0E9A619E"/>
    <w:rsid w:val="10625046"/>
    <w:rsid w:val="112A4EA5"/>
    <w:rsid w:val="130F234A"/>
    <w:rsid w:val="15491B0B"/>
    <w:rsid w:val="1C3E4C5D"/>
    <w:rsid w:val="1D5F5F9F"/>
    <w:rsid w:val="208541C1"/>
    <w:rsid w:val="212E613B"/>
    <w:rsid w:val="22ED071D"/>
    <w:rsid w:val="2BFF1DD2"/>
    <w:rsid w:val="2C7846C1"/>
    <w:rsid w:val="3008257A"/>
    <w:rsid w:val="30B46C7B"/>
    <w:rsid w:val="319A450E"/>
    <w:rsid w:val="33EE3A3F"/>
    <w:rsid w:val="34417499"/>
    <w:rsid w:val="39421837"/>
    <w:rsid w:val="39557E79"/>
    <w:rsid w:val="3AA80CB0"/>
    <w:rsid w:val="3D3A335D"/>
    <w:rsid w:val="3D43204F"/>
    <w:rsid w:val="3E6E35B6"/>
    <w:rsid w:val="41FE1272"/>
    <w:rsid w:val="43CC3E08"/>
    <w:rsid w:val="449A343D"/>
    <w:rsid w:val="45332E25"/>
    <w:rsid w:val="45932AE6"/>
    <w:rsid w:val="48411C4E"/>
    <w:rsid w:val="4875577F"/>
    <w:rsid w:val="48AE2410"/>
    <w:rsid w:val="49906D8D"/>
    <w:rsid w:val="4A495C8B"/>
    <w:rsid w:val="51610715"/>
    <w:rsid w:val="51FD4003"/>
    <w:rsid w:val="56CC17F5"/>
    <w:rsid w:val="570A4F08"/>
    <w:rsid w:val="574606A0"/>
    <w:rsid w:val="58136FB6"/>
    <w:rsid w:val="595C3C31"/>
    <w:rsid w:val="5A003F8C"/>
    <w:rsid w:val="5BAE0230"/>
    <w:rsid w:val="5D514354"/>
    <w:rsid w:val="5E262A78"/>
    <w:rsid w:val="5EBB1B33"/>
    <w:rsid w:val="601D7440"/>
    <w:rsid w:val="62F702C1"/>
    <w:rsid w:val="64AD55B4"/>
    <w:rsid w:val="69853FA9"/>
    <w:rsid w:val="6E5F3047"/>
    <w:rsid w:val="72A416C1"/>
    <w:rsid w:val="753F54EE"/>
    <w:rsid w:val="767E028C"/>
    <w:rsid w:val="76DA3B24"/>
    <w:rsid w:val="775B356C"/>
    <w:rsid w:val="78372597"/>
    <w:rsid w:val="7973519A"/>
    <w:rsid w:val="7C405F9D"/>
    <w:rsid w:val="7D4451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宋体"/>
      <w:kern w:val="2"/>
      <w:sz w:val="21"/>
      <w:szCs w:val="22"/>
      <w:lang w:val="en-US" w:eastAsia="zh-CN" w:bidi="ar-SA"/>
    </w:rPr>
  </w:style>
  <w:style w:type="paragraph" w:styleId="4">
    <w:name w:val="heading 1"/>
    <w:basedOn w:val="1"/>
    <w:next w:val="1"/>
    <w:link w:val="16"/>
    <w:qFormat/>
    <w:uiPriority w:val="9"/>
    <w:pPr>
      <w:spacing w:beforeAutospacing="1" w:afterAutospacing="1"/>
      <w:jc w:val="left"/>
      <w:outlineLvl w:val="0"/>
    </w:pPr>
    <w:rPr>
      <w:rFonts w:hint="eastAsia" w:ascii="宋体" w:hAnsi="宋体" w:eastAsia="宋体" w:cs="Times New Roman"/>
      <w:b/>
      <w:kern w:val="44"/>
      <w:sz w:val="48"/>
      <w:szCs w:val="48"/>
    </w:rPr>
  </w:style>
  <w:style w:type="paragraph" w:styleId="5">
    <w:name w:val="heading 2"/>
    <w:basedOn w:val="1"/>
    <w:next w:val="1"/>
    <w:link w:val="18"/>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widowControl/>
      <w:spacing w:line="560" w:lineRule="exact"/>
      <w:ind w:firstLine="200" w:firstLineChars="200"/>
    </w:pPr>
    <w:rPr>
      <w:rFonts w:ascii="Times New Roman" w:cs="Times New Roman"/>
      <w:sz w:val="28"/>
      <w:szCs w:val="28"/>
    </w:rPr>
  </w:style>
  <w:style w:type="paragraph" w:styleId="3">
    <w:name w:val="Body Text Indent"/>
    <w:basedOn w:val="1"/>
    <w:qFormat/>
    <w:uiPriority w:val="0"/>
    <w:pPr>
      <w:ind w:firstLine="636" w:firstLineChars="198"/>
    </w:pPr>
    <w:rPr>
      <w:rFonts w:ascii="仿宋_GB2312" w:eastAsia="仿宋_GB2312"/>
      <w:b/>
      <w:sz w:val="32"/>
      <w:szCs w:val="20"/>
    </w:rPr>
  </w:style>
  <w:style w:type="paragraph" w:styleId="6">
    <w:name w:val="Balloon Text"/>
    <w:basedOn w:val="1"/>
    <w:link w:val="14"/>
    <w:qFormat/>
    <w:uiPriority w:val="99"/>
    <w:rPr>
      <w:sz w:val="18"/>
      <w:szCs w:val="18"/>
    </w:rPr>
  </w:style>
  <w:style w:type="paragraph" w:styleId="7">
    <w:name w:val="footer"/>
    <w:basedOn w:val="1"/>
    <w:link w:val="13"/>
    <w:qFormat/>
    <w:uiPriority w:val="99"/>
    <w:pPr>
      <w:tabs>
        <w:tab w:val="center" w:pos="4153"/>
        <w:tab w:val="right" w:pos="8306"/>
      </w:tabs>
      <w:snapToGrid w:val="0"/>
      <w:jc w:val="left"/>
    </w:pPr>
    <w:rPr>
      <w:sz w:val="18"/>
      <w:szCs w:val="18"/>
    </w:rPr>
  </w:style>
  <w:style w:type="paragraph" w:styleId="8">
    <w:name w:val="header"/>
    <w:basedOn w:val="1"/>
    <w:link w:val="12"/>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beforeAutospacing="1" w:afterAutospacing="1"/>
      <w:jc w:val="left"/>
    </w:pPr>
    <w:rPr>
      <w:rFonts w:cs="Times New Roman" w:asciiTheme="minorHAnsi" w:hAnsiTheme="minorHAnsi" w:eastAsiaTheme="minorEastAsia"/>
      <w:kern w:val="0"/>
      <w:sz w:val="24"/>
    </w:rPr>
  </w:style>
  <w:style w:type="character" w:customStyle="1" w:styleId="12">
    <w:name w:val="页眉 字符"/>
    <w:basedOn w:val="11"/>
    <w:link w:val="8"/>
    <w:qFormat/>
    <w:uiPriority w:val="99"/>
    <w:rPr>
      <w:sz w:val="18"/>
      <w:szCs w:val="18"/>
    </w:rPr>
  </w:style>
  <w:style w:type="character" w:customStyle="1" w:styleId="13">
    <w:name w:val="页脚 字符"/>
    <w:basedOn w:val="11"/>
    <w:link w:val="7"/>
    <w:qFormat/>
    <w:uiPriority w:val="99"/>
    <w:rPr>
      <w:sz w:val="18"/>
      <w:szCs w:val="18"/>
    </w:rPr>
  </w:style>
  <w:style w:type="character" w:customStyle="1" w:styleId="14">
    <w:name w:val="批注框文本 字符"/>
    <w:basedOn w:val="11"/>
    <w:link w:val="6"/>
    <w:qFormat/>
    <w:uiPriority w:val="99"/>
    <w:rPr>
      <w:sz w:val="18"/>
      <w:szCs w:val="18"/>
    </w:rPr>
  </w:style>
  <w:style w:type="paragraph" w:customStyle="1" w:styleId="15">
    <w:name w:val="列出段落1"/>
    <w:basedOn w:val="1"/>
    <w:qFormat/>
    <w:uiPriority w:val="34"/>
    <w:pPr>
      <w:ind w:firstLine="420" w:firstLineChars="200"/>
    </w:pPr>
  </w:style>
  <w:style w:type="character" w:customStyle="1" w:styleId="16">
    <w:name w:val="标题 1 字符"/>
    <w:basedOn w:val="11"/>
    <w:link w:val="4"/>
    <w:qFormat/>
    <w:uiPriority w:val="9"/>
    <w:rPr>
      <w:rFonts w:ascii="宋体" w:hAnsi="宋体" w:eastAsia="宋体" w:cs="Times New Roman"/>
      <w:b/>
      <w:kern w:val="44"/>
      <w:sz w:val="48"/>
      <w:szCs w:val="48"/>
    </w:rPr>
  </w:style>
  <w:style w:type="paragraph" w:styleId="17">
    <w:name w:val="List Paragraph"/>
    <w:basedOn w:val="1"/>
    <w:qFormat/>
    <w:uiPriority w:val="34"/>
    <w:pPr>
      <w:ind w:firstLine="420" w:firstLineChars="200"/>
    </w:pPr>
    <w:rPr>
      <w:rFonts w:asciiTheme="minorHAnsi" w:hAnsiTheme="minorHAnsi" w:eastAsiaTheme="minorEastAsia" w:cstheme="minorBidi"/>
    </w:rPr>
  </w:style>
  <w:style w:type="character" w:customStyle="1" w:styleId="18">
    <w:name w:val="标题 2 字符"/>
    <w:basedOn w:val="11"/>
    <w:link w:val="5"/>
    <w:qFormat/>
    <w:uiPriority w:val="0"/>
    <w:rPr>
      <w:rFonts w:asciiTheme="majorHAnsi" w:hAnsiTheme="majorHAnsi" w:eastAsiaTheme="majorEastAsia" w:cstheme="majorBidi"/>
      <w:b/>
      <w:bCs/>
      <w:kern w:val="2"/>
      <w:sz w:val="32"/>
      <w:szCs w:val="32"/>
    </w:rPr>
  </w:style>
  <w:style w:type="paragraph" w:customStyle="1" w:styleId="19">
    <w:name w:val="列表段落1"/>
    <w:basedOn w:val="1"/>
    <w:qFormat/>
    <w:uiPriority w:val="34"/>
    <w:pPr>
      <w:ind w:firstLine="420" w:firstLineChars="200"/>
    </w:pPr>
    <w:rPr>
      <w:rFonts w:asciiTheme="minorHAnsi" w:hAnsiTheme="minorHAnsi" w:eastAsiaTheme="minorEastAsia" w:cstheme="minorBidi"/>
    </w:rPr>
  </w:style>
  <w:style w:type="paragraph" w:customStyle="1" w:styleId="20">
    <w:name w:val="paragraph"/>
    <w:basedOn w:val="1"/>
    <w:qFormat/>
    <w:uiPriority w:val="0"/>
    <w:pPr>
      <w:widowControl/>
      <w:spacing w:before="100" w:beforeAutospacing="1" w:after="100" w:afterAutospacing="1"/>
      <w:jc w:val="left"/>
    </w:pPr>
    <w:rPr>
      <w:rFonts w:ascii="宋体" w:hAnsi="宋体" w:eastAsia="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426</Words>
  <Characters>2430</Characters>
  <Lines>20</Lines>
  <Paragraphs>5</Paragraphs>
  <TotalTime>1</TotalTime>
  <ScaleCrop>false</ScaleCrop>
  <LinksUpToDate>false</LinksUpToDate>
  <CharactersWithSpaces>2851</CharactersWithSpaces>
  <Application>WPS Office_11.1.0.10395_F1E327BC-269C-435d-A152-05C5408002CA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2019-11-04T10:06:00Z</dcterms:created>
  <dc:creator>罗敏妍(广东省律师协会)</dc:creator>
  <cp:lastModifiedBy>陈韵</cp:lastModifiedBy>
  <cp:lastPrinted>2017-06-21T04:51:00Z</cp:lastPrinted>
  <dcterms:modified xsi:type="dcterms:W3CDTF">2021-11-12T14:29:02Z</dcterms:modified>
  <cp:revision>516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2052-11.1.0.10395</vt:lpwstr>
  </property>
  <property fmtid="{D5CDD505-2E9C-101B-9397-08002B2CF9AE}" pid="3" name="ICV">
    <vt:lpwstr>575FC6B3890D4B94AC7B0B4BBA1A09D2</vt:lpwstr>
  </property>
</Properties>
</file>