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firstLine="883" w:firstLineChars="200"/>
        <w:jc w:val="center"/>
        <w:rPr>
          <w:rFonts w:ascii="仿宋" w:hAnsi="仿宋" w:eastAsia="仿宋"/>
          <w:b/>
          <w:sz w:val="44"/>
          <w:szCs w:val="44"/>
        </w:rPr>
      </w:pPr>
      <w:r>
        <w:rPr>
          <w:rFonts w:hint="eastAsia" w:ascii="仿宋" w:hAnsi="仿宋" w:eastAsia="仿宋"/>
          <w:b/>
          <w:sz w:val="44"/>
          <w:szCs w:val="44"/>
        </w:rPr>
        <w:t>深圳市律师协会专门</w:t>
      </w:r>
      <w:r>
        <w:rPr>
          <w:rFonts w:ascii="仿宋" w:hAnsi="仿宋" w:eastAsia="仿宋"/>
          <w:b/>
          <w:sz w:val="44"/>
          <w:szCs w:val="44"/>
        </w:rPr>
        <w:t>委员会</w:t>
      </w:r>
      <w:r>
        <w:rPr>
          <w:rFonts w:hint="eastAsia" w:ascii="仿宋" w:hAnsi="仿宋" w:eastAsia="仿宋"/>
          <w:b/>
          <w:sz w:val="44"/>
          <w:szCs w:val="44"/>
        </w:rPr>
        <w:t>工作动态（</w:t>
      </w:r>
      <w:r>
        <w:rPr>
          <w:rFonts w:ascii="仿宋" w:hAnsi="仿宋" w:eastAsia="仿宋"/>
          <w:b/>
          <w:sz w:val="44"/>
          <w:szCs w:val="44"/>
        </w:rPr>
        <w:t>2021</w:t>
      </w:r>
      <w:r>
        <w:rPr>
          <w:rFonts w:hint="eastAsia" w:ascii="仿宋" w:hAnsi="仿宋" w:eastAsia="仿宋"/>
          <w:b/>
          <w:sz w:val="44"/>
          <w:szCs w:val="44"/>
        </w:rPr>
        <w:t>年</w:t>
      </w:r>
      <w:r>
        <w:rPr>
          <w:rFonts w:hint="eastAsia" w:ascii="仿宋" w:hAnsi="仿宋" w:eastAsia="仿宋"/>
          <w:b/>
          <w:sz w:val="44"/>
          <w:szCs w:val="44"/>
          <w:lang w:val="en-US" w:eastAsia="zh-CN"/>
        </w:rPr>
        <w:t>9</w:t>
      </w:r>
      <w:r>
        <w:rPr>
          <w:rFonts w:ascii="仿宋" w:hAnsi="仿宋" w:eastAsia="仿宋"/>
          <w:b/>
          <w:sz w:val="44"/>
          <w:szCs w:val="44"/>
        </w:rPr>
        <w:t>月</w:t>
      </w:r>
      <w:r>
        <w:rPr>
          <w:rFonts w:hint="eastAsia" w:ascii="仿宋" w:hAnsi="仿宋" w:eastAsia="仿宋"/>
          <w:b/>
          <w:sz w:val="44"/>
          <w:szCs w:val="44"/>
        </w:rPr>
        <w:t>）</w:t>
      </w:r>
    </w:p>
    <w:tbl>
      <w:tblPr>
        <w:tblStyle w:val="10"/>
        <w:tblW w:w="15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2947"/>
        <w:gridCol w:w="1418"/>
        <w:gridCol w:w="1559"/>
        <w:gridCol w:w="8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spacing w:line="600" w:lineRule="exact"/>
              <w:jc w:val="center"/>
              <w:rPr>
                <w:rFonts w:ascii="仿宋" w:hAnsi="仿宋" w:eastAsia="仿宋"/>
                <w:b/>
                <w:bCs/>
                <w:kern w:val="0"/>
                <w:sz w:val="32"/>
                <w:szCs w:val="32"/>
              </w:rPr>
            </w:pPr>
            <w:r>
              <w:rPr>
                <w:rFonts w:hint="eastAsia" w:ascii="仿宋" w:hAnsi="仿宋" w:eastAsia="仿宋"/>
                <w:b/>
                <w:bCs/>
                <w:kern w:val="0"/>
                <w:sz w:val="32"/>
                <w:szCs w:val="32"/>
              </w:rPr>
              <w:t>序号</w:t>
            </w:r>
          </w:p>
        </w:tc>
        <w:tc>
          <w:tcPr>
            <w:tcW w:w="2947" w:type="dxa"/>
            <w:shd w:val="clear" w:color="auto" w:fill="auto"/>
            <w:vAlign w:val="center"/>
          </w:tcPr>
          <w:p>
            <w:pPr>
              <w:widowControl/>
              <w:spacing w:line="600" w:lineRule="exact"/>
              <w:jc w:val="center"/>
              <w:rPr>
                <w:rFonts w:ascii="仿宋" w:hAnsi="仿宋" w:eastAsia="仿宋"/>
                <w:b/>
                <w:bCs/>
                <w:color w:val="FF0000"/>
                <w:kern w:val="0"/>
                <w:sz w:val="32"/>
                <w:szCs w:val="32"/>
              </w:rPr>
            </w:pPr>
            <w:r>
              <w:rPr>
                <w:rFonts w:hint="eastAsia" w:ascii="仿宋" w:hAnsi="仿宋" w:eastAsia="仿宋"/>
                <w:b/>
                <w:bCs/>
                <w:color w:val="000000" w:themeColor="text1"/>
                <w:kern w:val="0"/>
                <w:sz w:val="32"/>
                <w:szCs w:val="32"/>
                <w14:textFill>
                  <w14:solidFill>
                    <w14:schemeClr w14:val="tx1"/>
                  </w14:solidFill>
                </w14:textFill>
              </w:rPr>
              <w:t>工作委员会</w:t>
            </w:r>
          </w:p>
        </w:tc>
        <w:tc>
          <w:tcPr>
            <w:tcW w:w="1418" w:type="dxa"/>
            <w:shd w:val="clear" w:color="auto" w:fill="auto"/>
            <w:vAlign w:val="center"/>
          </w:tcPr>
          <w:p>
            <w:pPr>
              <w:widowControl/>
              <w:spacing w:line="600" w:lineRule="exact"/>
              <w:jc w:val="center"/>
              <w:rPr>
                <w:rFonts w:ascii="仿宋" w:hAnsi="仿宋" w:eastAsia="仿宋"/>
                <w:b/>
                <w:bCs/>
                <w:kern w:val="0"/>
                <w:sz w:val="32"/>
                <w:szCs w:val="32"/>
              </w:rPr>
            </w:pPr>
            <w:r>
              <w:rPr>
                <w:rFonts w:hint="eastAsia" w:ascii="仿宋" w:hAnsi="仿宋" w:eastAsia="仿宋"/>
                <w:b/>
                <w:bCs/>
                <w:kern w:val="0"/>
                <w:sz w:val="32"/>
                <w:szCs w:val="32"/>
              </w:rPr>
              <w:t>主 任</w:t>
            </w:r>
          </w:p>
        </w:tc>
        <w:tc>
          <w:tcPr>
            <w:tcW w:w="1559" w:type="dxa"/>
            <w:shd w:val="clear" w:color="auto" w:fill="auto"/>
            <w:vAlign w:val="center"/>
          </w:tcPr>
          <w:p>
            <w:pPr>
              <w:widowControl/>
              <w:spacing w:line="600" w:lineRule="exact"/>
              <w:rPr>
                <w:rFonts w:ascii="仿宋" w:hAnsi="仿宋" w:eastAsia="仿宋"/>
                <w:b/>
                <w:bCs/>
                <w:kern w:val="0"/>
                <w:sz w:val="32"/>
                <w:szCs w:val="32"/>
              </w:rPr>
            </w:pPr>
            <w:r>
              <w:rPr>
                <w:rFonts w:hint="eastAsia" w:ascii="仿宋" w:hAnsi="仿宋" w:eastAsia="仿宋"/>
                <w:b/>
                <w:bCs/>
                <w:kern w:val="0"/>
                <w:sz w:val="32"/>
                <w:szCs w:val="32"/>
              </w:rPr>
              <w:t>分管会长</w:t>
            </w:r>
          </w:p>
        </w:tc>
        <w:tc>
          <w:tcPr>
            <w:tcW w:w="8653" w:type="dxa"/>
            <w:shd w:val="clear" w:color="auto" w:fill="auto"/>
            <w:vAlign w:val="center"/>
          </w:tcPr>
          <w:p>
            <w:pPr>
              <w:widowControl/>
              <w:spacing w:line="600" w:lineRule="exact"/>
              <w:ind w:firstLine="643" w:firstLineChars="200"/>
              <w:jc w:val="center"/>
              <w:rPr>
                <w:rFonts w:ascii="仿宋" w:hAnsi="仿宋" w:eastAsia="仿宋"/>
                <w:b/>
                <w:bCs/>
                <w:kern w:val="0"/>
                <w:sz w:val="32"/>
                <w:szCs w:val="32"/>
              </w:rPr>
            </w:pPr>
            <w:r>
              <w:rPr>
                <w:rFonts w:hint="eastAsia" w:ascii="仿宋" w:hAnsi="仿宋" w:eastAsia="仿宋"/>
                <w:b/>
                <w:bCs/>
                <w:kern w:val="0"/>
                <w:sz w:val="32"/>
                <w:szCs w:val="32"/>
              </w:rPr>
              <w:t>工作动态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1</w:t>
            </w:r>
          </w:p>
        </w:tc>
        <w:tc>
          <w:tcPr>
            <w:tcW w:w="2947" w:type="dxa"/>
            <w:shd w:val="clear" w:color="auto" w:fill="auto"/>
            <w:vAlign w:val="center"/>
          </w:tcPr>
          <w:p>
            <w:pPr>
              <w:widowControl/>
              <w:spacing w:line="600" w:lineRule="exact"/>
              <w:jc w:val="center"/>
              <w:rPr>
                <w:rFonts w:ascii="仿宋" w:hAnsi="仿宋" w:eastAsia="仿宋" w:cs="Calibri"/>
                <w:color w:val="000000" w:themeColor="text1"/>
                <w:kern w:val="0"/>
                <w:sz w:val="32"/>
                <w:szCs w:val="32"/>
                <w:highlight w:val="none"/>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律师权益</w:t>
            </w:r>
          </w:p>
          <w:p>
            <w:pPr>
              <w:widowControl/>
              <w:spacing w:line="600" w:lineRule="exact"/>
              <w:jc w:val="center"/>
              <w:rPr>
                <w:rFonts w:ascii="仿宋" w:hAnsi="仿宋" w:eastAsia="仿宋" w:cs="Calibri"/>
                <w:color w:val="FF0000"/>
                <w:kern w:val="0"/>
                <w:sz w:val="32"/>
                <w:szCs w:val="32"/>
              </w:rPr>
            </w:pPr>
            <w:r>
              <w:rPr>
                <w:rFonts w:ascii="仿宋" w:hAnsi="仿宋" w:eastAsia="仿宋" w:cs="Calibri"/>
                <w:color w:val="000000" w:themeColor="text1"/>
                <w:kern w:val="0"/>
                <w:sz w:val="32"/>
                <w:szCs w:val="32"/>
                <w:highlight w:val="none"/>
                <w14:textFill>
                  <w14:solidFill>
                    <w14:schemeClr w14:val="tx1"/>
                  </w14:solidFill>
                </w14:textFill>
              </w:rPr>
              <w:t>保障委员会</w:t>
            </w:r>
          </w:p>
        </w:tc>
        <w:tc>
          <w:tcPr>
            <w:tcW w:w="1418"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方壮毅</w:t>
            </w:r>
          </w:p>
        </w:tc>
        <w:tc>
          <w:tcPr>
            <w:tcW w:w="1559"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章成</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1.9月9日，草拟《执业有利好：即日起深圳律师可查询全国人口信息》并通过微信发布；</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2.9月，接维权申请3宗，办结3宗；</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cs="Times New Roman"/>
                <w:sz w:val="30"/>
                <w:szCs w:val="30"/>
              </w:rPr>
            </w:pPr>
            <w:r>
              <w:rPr>
                <w:rFonts w:hint="eastAsia" w:ascii="仿宋" w:hAnsi="仿宋" w:eastAsia="仿宋"/>
                <w:kern w:val="0"/>
                <w:sz w:val="30"/>
                <w:szCs w:val="30"/>
                <w:lang w:val="en-US" w:eastAsia="zh-CN"/>
              </w:rPr>
              <w:t>3.</w:t>
            </w:r>
            <w:r>
              <w:rPr>
                <w:rFonts w:hint="eastAsia" w:ascii="仿宋" w:hAnsi="仿宋" w:eastAsia="仿宋"/>
                <w:kern w:val="0"/>
                <w:sz w:val="30"/>
                <w:szCs w:val="30"/>
              </w:rPr>
              <w:t>9月，发布关于看守所律师会见的信息1条。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017" w:type="dxa"/>
            <w:shd w:val="clear" w:color="auto" w:fill="auto"/>
            <w:vAlign w:val="center"/>
          </w:tcPr>
          <w:p>
            <w:pPr>
              <w:widowControl/>
              <w:spacing w:line="600" w:lineRule="exact"/>
              <w:jc w:val="center"/>
              <w:rPr>
                <w:rFonts w:ascii="仿宋" w:hAnsi="仿宋" w:eastAsia="仿宋" w:cs="Calibri"/>
                <w:kern w:val="0"/>
                <w:sz w:val="32"/>
                <w:szCs w:val="32"/>
              </w:rPr>
            </w:pPr>
            <w:r>
              <w:rPr>
                <w:rFonts w:hint="eastAsia" w:ascii="仿宋" w:hAnsi="仿宋" w:eastAsia="仿宋" w:cs="Calibri"/>
                <w:kern w:val="0"/>
                <w:sz w:val="32"/>
                <w:szCs w:val="32"/>
              </w:rPr>
              <w:t>2</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法治深圳促进</w:t>
            </w:r>
          </w:p>
          <w:p>
            <w:pPr>
              <w:widowControl/>
              <w:spacing w:line="560" w:lineRule="exact"/>
              <w:jc w:val="center"/>
              <w:rPr>
                <w:rFonts w:ascii="仿宋" w:hAnsi="仿宋" w:eastAsia="仿宋"/>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委员会</w:t>
            </w:r>
          </w:p>
        </w:tc>
        <w:tc>
          <w:tcPr>
            <w:tcW w:w="1418"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许宜群</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曾迈</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ascii="仿宋" w:hAnsi="仿宋" w:eastAsia="仿宋"/>
                <w:kern w:val="0"/>
                <w:sz w:val="30"/>
                <w:szCs w:val="30"/>
              </w:rPr>
            </w:pPr>
            <w:r>
              <w:rPr>
                <w:rFonts w:hint="eastAsia" w:ascii="仿宋" w:hAnsi="仿宋" w:eastAsia="仿宋"/>
                <w:kern w:val="0"/>
                <w:sz w:val="30"/>
                <w:szCs w:val="30"/>
              </w:rPr>
              <w:t>1.9月，指导办文1件。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017"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3</w:t>
            </w:r>
          </w:p>
        </w:tc>
        <w:tc>
          <w:tcPr>
            <w:tcW w:w="2947" w:type="dxa"/>
            <w:shd w:val="clear" w:color="auto" w:fill="auto"/>
            <w:vAlign w:val="center"/>
          </w:tcPr>
          <w:p>
            <w:pPr>
              <w:widowControl/>
              <w:spacing w:line="600" w:lineRule="exact"/>
              <w:ind w:firstLine="640" w:firstLineChars="200"/>
              <w:rPr>
                <w:rFonts w:ascii="仿宋" w:hAnsi="仿宋" w:eastAsia="仿宋" w:cs="Calibri"/>
                <w:color w:val="FF0000"/>
                <w:kern w:val="0"/>
                <w:sz w:val="32"/>
                <w:szCs w:val="32"/>
              </w:rPr>
            </w:pPr>
            <w:r>
              <w:rPr>
                <w:rFonts w:ascii="仿宋" w:hAnsi="仿宋" w:eastAsia="仿宋" w:cs="Calibri"/>
                <w:color w:val="000000" w:themeColor="text1"/>
                <w:kern w:val="0"/>
                <w:sz w:val="32"/>
                <w:szCs w:val="32"/>
                <w:highlight w:val="none"/>
                <w14:textFill>
                  <w14:solidFill>
                    <w14:schemeClr w14:val="tx1"/>
                  </w14:solidFill>
                </w14:textFill>
              </w:rPr>
              <w:t>公益委员会</w:t>
            </w:r>
          </w:p>
        </w:tc>
        <w:tc>
          <w:tcPr>
            <w:tcW w:w="1418" w:type="dxa"/>
            <w:shd w:val="clear" w:color="auto" w:fill="auto"/>
            <w:vAlign w:val="center"/>
          </w:tcPr>
          <w:p>
            <w:pPr>
              <w:widowControl/>
              <w:spacing w:line="600" w:lineRule="exact"/>
              <w:jc w:val="center"/>
              <w:rPr>
                <w:rFonts w:ascii="仿宋" w:hAnsi="仿宋" w:eastAsia="仿宋" w:cs="Calibri"/>
                <w:kern w:val="0"/>
                <w:sz w:val="32"/>
                <w:szCs w:val="32"/>
              </w:rPr>
            </w:pPr>
            <w:r>
              <w:rPr>
                <w:rFonts w:hint="eastAsia" w:ascii="仿宋" w:hAnsi="仿宋" w:eastAsia="仿宋" w:cs="Calibri"/>
                <w:kern w:val="0"/>
                <w:sz w:val="32"/>
                <w:szCs w:val="32"/>
              </w:rPr>
              <w:t>孙程旭</w:t>
            </w:r>
          </w:p>
        </w:tc>
        <w:tc>
          <w:tcPr>
            <w:tcW w:w="1559"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蔡华</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1.9月1日，公益委主任孙程旭处理本市担任村（社区）法律顾问的核查工作；</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2.9月10日，公益委主任孙程旭处理省律协《“我为群众办实事·百所兴百村”》工作；</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3.9月16日，公益委主任孙程旭对坪山区司法局《坪山区律师参与公益法律服务实施办法（征求意见稿）》提出修改意见；</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4.9月22日，公益委联合青工委和维德法律服务中心制定2021年度9-10月培训计划；</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5.9月26日，公益委主任孙程旭阅知、处理市局就建立“千所联千会”机制有关事项通知我会。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4</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参政议政促进</w:t>
            </w:r>
          </w:p>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委员会</w:t>
            </w:r>
          </w:p>
        </w:tc>
        <w:tc>
          <w:tcPr>
            <w:tcW w:w="1418"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黄远兵</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曾迈</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lang w:val="en-US" w:eastAsia="zh-CN"/>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5</w:t>
            </w:r>
          </w:p>
        </w:tc>
        <w:tc>
          <w:tcPr>
            <w:tcW w:w="2947" w:type="dxa"/>
            <w:shd w:val="clear" w:color="auto" w:fill="auto"/>
            <w:vAlign w:val="center"/>
          </w:tcPr>
          <w:p>
            <w:pPr>
              <w:widowControl/>
              <w:adjustRightInd w:val="0"/>
              <w:snapToGrid w:val="0"/>
              <w:spacing w:line="600" w:lineRule="exact"/>
              <w:jc w:val="center"/>
              <w:rPr>
                <w:rFonts w:ascii="仿宋" w:hAnsi="仿宋" w:eastAsia="仿宋" w:cs="Calibri"/>
                <w:color w:val="000000" w:themeColor="text1"/>
                <w:kern w:val="0"/>
                <w:sz w:val="32"/>
                <w:szCs w:val="32"/>
                <w:highlight w:val="none"/>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前海律师工作</w:t>
            </w:r>
          </w:p>
          <w:p>
            <w:pPr>
              <w:widowControl/>
              <w:adjustRightInd w:val="0"/>
              <w:snapToGrid w:val="0"/>
              <w:spacing w:line="600" w:lineRule="exact"/>
              <w:jc w:val="center"/>
              <w:rPr>
                <w:rFonts w:ascii="仿宋" w:hAnsi="仿宋" w:eastAsia="仿宋" w:cs="Calibri"/>
                <w:color w:val="000000" w:themeColor="text1"/>
                <w:kern w:val="0"/>
                <w:sz w:val="32"/>
                <w:szCs w:val="32"/>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委员会</w:t>
            </w:r>
          </w:p>
        </w:tc>
        <w:tc>
          <w:tcPr>
            <w:tcW w:w="1418"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孟荻</w:t>
            </w:r>
          </w:p>
        </w:tc>
        <w:tc>
          <w:tcPr>
            <w:tcW w:w="1559" w:type="dxa"/>
            <w:shd w:val="clear" w:color="auto" w:fill="auto"/>
            <w:vAlign w:val="center"/>
          </w:tcPr>
          <w:p>
            <w:pPr>
              <w:widowControl/>
              <w:adjustRightInd w:val="0"/>
              <w:snapToGrid w:val="0"/>
              <w:spacing w:line="600" w:lineRule="exact"/>
              <w:ind w:firstLine="320" w:firstLineChars="100"/>
              <w:rPr>
                <w:rFonts w:ascii="仿宋" w:hAnsi="仿宋" w:eastAsia="仿宋" w:cs="Calibri"/>
                <w:kern w:val="0"/>
                <w:sz w:val="32"/>
                <w:szCs w:val="32"/>
              </w:rPr>
            </w:pPr>
            <w:r>
              <w:rPr>
                <w:rFonts w:ascii="仿宋" w:hAnsi="仿宋" w:eastAsia="仿宋" w:cs="Calibri"/>
                <w:kern w:val="0"/>
                <w:sz w:val="32"/>
                <w:szCs w:val="32"/>
              </w:rPr>
              <w:t>韩俊</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sz w:val="30"/>
                <w:szCs w:val="30"/>
                <w:lang w:eastAsia="zh-CN"/>
              </w:rPr>
            </w:pPr>
            <w:r>
              <w:rPr>
                <w:rFonts w:hint="eastAsia" w:ascii="仿宋" w:hAnsi="仿宋" w:eastAsia="仿宋"/>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cs="Calibri"/>
                <w:kern w:val="0"/>
                <w:sz w:val="32"/>
                <w:szCs w:val="32"/>
              </w:rPr>
              <w:t>6</w:t>
            </w:r>
          </w:p>
        </w:tc>
        <w:tc>
          <w:tcPr>
            <w:tcW w:w="2947" w:type="dxa"/>
            <w:shd w:val="clear" w:color="auto" w:fill="auto"/>
            <w:vAlign w:val="center"/>
          </w:tcPr>
          <w:p>
            <w:pPr>
              <w:widowControl/>
              <w:adjustRightInd w:val="0"/>
              <w:snapToGrid w:val="0"/>
              <w:spacing w:line="60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法律职业共同体工作委员会</w:t>
            </w:r>
          </w:p>
        </w:tc>
        <w:tc>
          <w:tcPr>
            <w:tcW w:w="1418"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kern w:val="0"/>
                <w:sz w:val="30"/>
                <w:szCs w:val="30"/>
              </w:rPr>
              <w:t>刘庆江</w:t>
            </w:r>
          </w:p>
        </w:tc>
        <w:tc>
          <w:tcPr>
            <w:tcW w:w="1559"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kern w:val="0"/>
                <w:sz w:val="30"/>
                <w:szCs w:val="30"/>
              </w:rPr>
              <w:t>曾迈</w:t>
            </w:r>
          </w:p>
        </w:tc>
        <w:tc>
          <w:tcPr>
            <w:tcW w:w="8653"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kern w:val="0"/>
                <w:sz w:val="30"/>
                <w:szCs w:val="30"/>
              </w:rPr>
              <w:t>7</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会员违规行为</w:t>
            </w:r>
          </w:p>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调查工作委员会</w:t>
            </w:r>
          </w:p>
        </w:tc>
        <w:tc>
          <w:tcPr>
            <w:tcW w:w="1418"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赵东川</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章成</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1.9月受理各类投诉82件，发出54个立案通知书，28个不予立案通知书；将21件答辩期满投诉移交调查</w:t>
            </w:r>
            <w:r>
              <w:rPr>
                <w:rFonts w:hint="eastAsia" w:ascii="仿宋" w:hAnsi="仿宋" w:eastAsia="仿宋"/>
                <w:kern w:val="0"/>
                <w:sz w:val="30"/>
                <w:szCs w:val="30"/>
                <w:lang w:eastAsia="zh-CN"/>
              </w:rPr>
              <w:t>；</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2.根据办文，指派委员赴兴宁市人民法院参加案件庭审旁听。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jc w:val="center"/>
        </w:trPr>
        <w:tc>
          <w:tcPr>
            <w:tcW w:w="1017"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kern w:val="0"/>
                <w:sz w:val="30"/>
                <w:szCs w:val="30"/>
              </w:rPr>
              <w:t>8</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会员违规行为</w:t>
            </w:r>
          </w:p>
          <w:p>
            <w:pPr>
              <w:widowControl/>
              <w:spacing w:line="560" w:lineRule="exact"/>
              <w:jc w:val="center"/>
              <w:rPr>
                <w:rFonts w:ascii="仿宋" w:hAnsi="仿宋" w:eastAsia="仿宋"/>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惩戒委员会</w:t>
            </w:r>
          </w:p>
        </w:tc>
        <w:tc>
          <w:tcPr>
            <w:tcW w:w="1418"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廖耀雄</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章成</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1.9月，召开1场听证会，对5个案件进行审议；</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2.9月，召开审委会对8个案件进行审议；</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3.9月，发出结果文书19个；</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4.9月，发布诚信信息1个。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17"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cs="Calibri"/>
                <w:kern w:val="0"/>
                <w:sz w:val="32"/>
                <w:szCs w:val="32"/>
              </w:rPr>
              <w:t>9</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女律师工作委员会</w:t>
            </w:r>
          </w:p>
        </w:tc>
        <w:tc>
          <w:tcPr>
            <w:tcW w:w="1418"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ascii="仿宋" w:hAnsi="仿宋" w:eastAsia="仿宋" w:cs="Calibri"/>
                <w:color w:val="000000" w:themeColor="text1"/>
                <w:kern w:val="0"/>
                <w:sz w:val="32"/>
                <w:szCs w:val="32"/>
                <w14:textFill>
                  <w14:solidFill>
                    <w14:schemeClr w14:val="tx1"/>
                  </w14:solidFill>
                </w14:textFill>
              </w:rPr>
              <w:t>王芬</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cs="Calibri"/>
                <w:kern w:val="0"/>
                <w:sz w:val="32"/>
                <w:szCs w:val="32"/>
              </w:rPr>
              <w:t>韩俊</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60" w:firstLineChars="50"/>
              <w:jc w:val="center"/>
              <w:rPr>
                <w:rFonts w:ascii="仿宋" w:hAnsi="仿宋" w:eastAsia="仿宋" w:cs="Calibri"/>
                <w:kern w:val="0"/>
                <w:sz w:val="32"/>
                <w:szCs w:val="32"/>
              </w:rPr>
            </w:pPr>
            <w:r>
              <w:rPr>
                <w:rFonts w:ascii="仿宋" w:hAnsi="仿宋" w:eastAsia="仿宋" w:cs="Calibri"/>
                <w:kern w:val="0"/>
                <w:sz w:val="32"/>
                <w:szCs w:val="32"/>
              </w:rPr>
              <w:t>10</w:t>
            </w:r>
          </w:p>
        </w:tc>
        <w:tc>
          <w:tcPr>
            <w:tcW w:w="2947" w:type="dxa"/>
            <w:shd w:val="clear" w:color="auto" w:fill="auto"/>
            <w:vAlign w:val="center"/>
          </w:tcPr>
          <w:p>
            <w:pPr>
              <w:widowControl/>
              <w:adjustRightInd w:val="0"/>
              <w:snapToGrid w:val="0"/>
              <w:spacing w:line="600" w:lineRule="exact"/>
              <w:jc w:val="center"/>
              <w:rPr>
                <w:rFonts w:ascii="仿宋" w:hAnsi="仿宋" w:eastAsia="仿宋" w:cs="Calibri"/>
                <w:color w:val="000000" w:themeColor="text1"/>
                <w:kern w:val="0"/>
                <w:sz w:val="32"/>
                <w:szCs w:val="32"/>
                <w:highlight w:val="none"/>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国际与港澳台</w:t>
            </w:r>
          </w:p>
          <w:p>
            <w:pPr>
              <w:widowControl/>
              <w:adjustRightInd w:val="0"/>
              <w:snapToGrid w:val="0"/>
              <w:spacing w:line="600" w:lineRule="exact"/>
              <w:jc w:val="center"/>
              <w:rPr>
                <w:rFonts w:ascii="仿宋" w:hAnsi="仿宋" w:eastAsia="仿宋" w:cs="Calibri"/>
                <w:color w:val="FF0000"/>
                <w:kern w:val="0"/>
                <w:sz w:val="32"/>
                <w:szCs w:val="32"/>
              </w:rPr>
            </w:pPr>
            <w:r>
              <w:rPr>
                <w:rFonts w:ascii="仿宋" w:hAnsi="仿宋" w:eastAsia="仿宋" w:cs="Calibri"/>
                <w:color w:val="000000" w:themeColor="text1"/>
                <w:kern w:val="0"/>
                <w:sz w:val="32"/>
                <w:szCs w:val="32"/>
                <w:highlight w:val="none"/>
                <w14:textFill>
                  <w14:solidFill>
                    <w14:schemeClr w14:val="tx1"/>
                  </w14:solidFill>
                </w14:textFill>
              </w:rPr>
              <w:t>委员会</w:t>
            </w:r>
          </w:p>
        </w:tc>
        <w:tc>
          <w:tcPr>
            <w:tcW w:w="1418"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高文杰</w:t>
            </w:r>
          </w:p>
        </w:tc>
        <w:tc>
          <w:tcPr>
            <w:tcW w:w="1559" w:type="dxa"/>
            <w:shd w:val="clear" w:color="auto" w:fill="auto"/>
            <w:vAlign w:val="center"/>
          </w:tcPr>
          <w:p>
            <w:pPr>
              <w:jc w:val="center"/>
              <w:rPr>
                <w:rFonts w:ascii="仿宋" w:hAnsi="仿宋" w:eastAsia="仿宋"/>
                <w:kern w:val="0"/>
                <w:sz w:val="30"/>
                <w:szCs w:val="30"/>
              </w:rPr>
            </w:pPr>
            <w:r>
              <w:rPr>
                <w:rFonts w:ascii="仿宋" w:hAnsi="仿宋" w:eastAsia="仿宋"/>
                <w:kern w:val="0"/>
                <w:sz w:val="30"/>
                <w:szCs w:val="30"/>
              </w:rPr>
              <w:t>韩俊</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根据办文，协调韩俊副会长参加9月3日“深圳涉外法律人才调研”会议并草拟参考材料；制作网络调查问卷及《深圳市涉外律师基本情况统计表》，草拟《关于开展我市涉外法律人才统计工作的通知》并挂网；汇总30家律师事务所《深圳市涉外律师基本情况统计表》并填报《深圳涉外法律人才调研项目指标数据清单》；国际委甄选案例并报送市局、市人才工作局；</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2.9月3日，草拟《关于转发深圳市法学会&lt;关于参加中国法治国际论坛（2021）主题征文活动的通知&gt;的通知》并挂网组织深圳律师参加；</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3.9月3日，草拟《关于转发美国威廉玛丽法学院法律英语桥在线课程法律硕士 LLM 预科项目的通知》并挂网</w:t>
            </w:r>
            <w:r>
              <w:rPr>
                <w:rFonts w:hint="eastAsia" w:ascii="仿宋" w:hAnsi="仿宋" w:eastAsia="仿宋"/>
                <w:kern w:val="0"/>
                <w:sz w:val="30"/>
                <w:szCs w:val="30"/>
                <w:lang w:eastAsia="zh-CN"/>
              </w:rPr>
              <w:t>；</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4.9月3日，草拟《关于报名参加“法律专业在大湾区的机遇”线上座谈会的通知》并挂网；</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5.跟进2021年全省商务法律服务月深圳专场活动相关工作：草拟《关于我会参与承办2021年全省商务法律服务月深圳专场活动的报告》并报会长会审批；组织涉外律师、律所报名参加9月29日下午活动；</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6.9月22日，草拟《关于公布第三批深圳市涉外律师领军人才库名单的通知》并挂网；</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7.9月，指导草拟、修改《深圳市司法局 深圳市律师协会关于共同组建和重点培养使用深圳市涉外经贸律师团的工作方案（草案）》并发市局征求意见；指导草拟上会报告</w:t>
            </w:r>
            <w:r>
              <w:rPr>
                <w:rFonts w:hint="eastAsia" w:ascii="仿宋" w:hAnsi="仿宋" w:eastAsia="仿宋"/>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11</w:t>
            </w:r>
          </w:p>
        </w:tc>
        <w:tc>
          <w:tcPr>
            <w:tcW w:w="2947"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老律师工作委员会</w:t>
            </w:r>
          </w:p>
        </w:tc>
        <w:tc>
          <w:tcPr>
            <w:tcW w:w="1418"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kern w:val="0"/>
                <w:sz w:val="30"/>
                <w:szCs w:val="30"/>
              </w:rPr>
              <w:t>高立明</w:t>
            </w:r>
          </w:p>
        </w:tc>
        <w:tc>
          <w:tcPr>
            <w:tcW w:w="1559" w:type="dxa"/>
            <w:shd w:val="clear" w:color="auto" w:fill="auto"/>
            <w:vAlign w:val="center"/>
          </w:tcPr>
          <w:p>
            <w:pPr>
              <w:spacing w:line="600" w:lineRule="exact"/>
              <w:jc w:val="center"/>
              <w:rPr>
                <w:rFonts w:ascii="仿宋" w:hAnsi="仿宋" w:eastAsia="仿宋"/>
                <w:kern w:val="0"/>
                <w:sz w:val="32"/>
                <w:szCs w:val="32"/>
              </w:rPr>
            </w:pPr>
            <w:r>
              <w:rPr>
                <w:rFonts w:hint="eastAsia" w:ascii="仿宋" w:hAnsi="仿宋" w:eastAsia="仿宋"/>
                <w:kern w:val="0"/>
                <w:sz w:val="30"/>
                <w:szCs w:val="30"/>
              </w:rPr>
              <w:t>汪腾锋</w:t>
            </w:r>
          </w:p>
        </w:tc>
        <w:tc>
          <w:tcPr>
            <w:tcW w:w="8653"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 w:hAnsi="仿宋" w:eastAsia="仿宋" w:cs="Times New Roman"/>
                <w:sz w:val="30"/>
                <w:szCs w:val="30"/>
                <w:lang w:eastAsia="zh-CN"/>
              </w:rPr>
            </w:pPr>
            <w:r>
              <w:rPr>
                <w:rFonts w:hint="eastAsia" w:ascii="仿宋" w:hAnsi="仿宋" w:eastAsia="仿宋"/>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cs="Calibri"/>
                <w:kern w:val="0"/>
                <w:sz w:val="32"/>
                <w:szCs w:val="32"/>
              </w:rPr>
              <w:t>1</w:t>
            </w:r>
            <w:r>
              <w:rPr>
                <w:rFonts w:ascii="仿宋" w:hAnsi="仿宋" w:eastAsia="仿宋" w:cs="Calibri"/>
                <w:kern w:val="0"/>
                <w:sz w:val="32"/>
                <w:szCs w:val="32"/>
              </w:rPr>
              <w:t>2</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公司与公职律师工作委员会</w:t>
            </w:r>
          </w:p>
        </w:tc>
        <w:tc>
          <w:tcPr>
            <w:tcW w:w="1418"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cs="Calibri"/>
                <w:kern w:val="0"/>
                <w:sz w:val="32"/>
                <w:szCs w:val="32"/>
              </w:rPr>
              <w:t>赖向东</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cs="Calibri"/>
                <w:kern w:val="0"/>
                <w:sz w:val="32"/>
                <w:szCs w:val="32"/>
              </w:rPr>
              <w:t>蔡华</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Calibri"/>
                <w:kern w:val="0"/>
                <w:sz w:val="32"/>
                <w:szCs w:val="32"/>
              </w:rPr>
            </w:pPr>
            <w:r>
              <w:rPr>
                <w:rFonts w:hint="eastAsia" w:ascii="仿宋" w:hAnsi="仿宋" w:eastAsia="仿宋"/>
                <w:color w:val="000000"/>
                <w:kern w:val="0"/>
                <w:sz w:val="30"/>
                <w:szCs w:val="30"/>
              </w:rPr>
              <w:t>1</w:t>
            </w:r>
            <w:r>
              <w:rPr>
                <w:rFonts w:ascii="仿宋" w:hAnsi="仿宋" w:eastAsia="仿宋"/>
                <w:color w:val="000000"/>
                <w:kern w:val="0"/>
                <w:sz w:val="30"/>
                <w:szCs w:val="30"/>
              </w:rPr>
              <w:t>3</w:t>
            </w:r>
          </w:p>
        </w:tc>
        <w:tc>
          <w:tcPr>
            <w:tcW w:w="2947"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律师文化建设与表彰</w:t>
            </w:r>
            <w:r>
              <w:rPr>
                <w:rFonts w:ascii="仿宋" w:hAnsi="仿宋" w:eastAsia="仿宋"/>
                <w:color w:val="000000" w:themeColor="text1"/>
                <w:kern w:val="0"/>
                <w:sz w:val="30"/>
                <w:szCs w:val="30"/>
                <w:highlight w:val="none"/>
                <w14:textFill>
                  <w14:solidFill>
                    <w14:schemeClr w14:val="tx1"/>
                  </w14:solidFill>
                </w14:textFill>
              </w:rPr>
              <w:t>工作委员会</w:t>
            </w:r>
          </w:p>
        </w:tc>
        <w:tc>
          <w:tcPr>
            <w:tcW w:w="1418"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马卓檀</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30"/>
                <w:szCs w:val="30"/>
              </w:rPr>
              <w:t>江定航</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kern w:val="0"/>
                <w:sz w:val="30"/>
                <w:szCs w:val="30"/>
              </w:rPr>
            </w:pPr>
            <w:r>
              <w:rPr>
                <w:rFonts w:hint="eastAsia" w:ascii="仿宋" w:hAnsi="仿宋" w:eastAsia="仿宋"/>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Calibri"/>
                <w:kern w:val="0"/>
                <w:sz w:val="32"/>
                <w:szCs w:val="32"/>
              </w:rPr>
            </w:pPr>
            <w:r>
              <w:rPr>
                <w:rFonts w:hint="eastAsia" w:ascii="仿宋" w:hAnsi="仿宋" w:eastAsia="仿宋"/>
                <w:color w:val="000000"/>
                <w:kern w:val="0"/>
                <w:sz w:val="30"/>
                <w:szCs w:val="30"/>
              </w:rPr>
              <w:t>1</w:t>
            </w:r>
            <w:r>
              <w:rPr>
                <w:rFonts w:ascii="仿宋" w:hAnsi="仿宋" w:eastAsia="仿宋"/>
                <w:color w:val="000000"/>
                <w:kern w:val="0"/>
                <w:sz w:val="30"/>
                <w:szCs w:val="30"/>
              </w:rPr>
              <w:t>4</w:t>
            </w:r>
          </w:p>
        </w:tc>
        <w:tc>
          <w:tcPr>
            <w:tcW w:w="2947"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申请律师执业人员工作委员会</w:t>
            </w:r>
          </w:p>
        </w:tc>
        <w:tc>
          <w:tcPr>
            <w:tcW w:w="1418"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胡宁可</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30"/>
                <w:szCs w:val="30"/>
              </w:rPr>
              <w:t>江定航</w:t>
            </w:r>
          </w:p>
        </w:tc>
        <w:tc>
          <w:tcPr>
            <w:tcW w:w="8653" w:type="dxa"/>
            <w:shd w:val="clear" w:color="auto" w:fill="auto"/>
            <w:vAlign w:val="center"/>
          </w:tcPr>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cs="宋体"/>
                <w:color w:val="000000" w:themeColor="text1"/>
                <w:kern w:val="0"/>
                <w:sz w:val="30"/>
                <w:szCs w:val="30"/>
                <w14:textFill>
                  <w14:solidFill>
                    <w14:schemeClr w14:val="tx1"/>
                  </w14:solidFill>
                </w14:textFill>
              </w:rPr>
            </w:pPr>
            <w:r>
              <w:rPr>
                <w:rFonts w:hint="eastAsia" w:ascii="仿宋" w:hAnsi="仿宋" w:eastAsia="仿宋" w:cs="宋体"/>
                <w:color w:val="000000" w:themeColor="text1"/>
                <w:kern w:val="0"/>
                <w:sz w:val="30"/>
                <w:szCs w:val="30"/>
                <w14:textFill>
                  <w14:solidFill>
                    <w14:schemeClr w14:val="tx1"/>
                  </w14:solidFill>
                </w14:textFill>
              </w:rPr>
              <w:t>1.完成2021年第二期申请律师执业人员集中培训结业考试试卷批改及复核工作；</w:t>
            </w:r>
          </w:p>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cs="宋体"/>
                <w:color w:val="000000" w:themeColor="text1"/>
                <w:kern w:val="0"/>
                <w:sz w:val="30"/>
                <w:szCs w:val="30"/>
                <w14:textFill>
                  <w14:solidFill>
                    <w14:schemeClr w14:val="tx1"/>
                  </w14:solidFill>
                </w14:textFill>
              </w:rPr>
            </w:pPr>
            <w:r>
              <w:rPr>
                <w:rFonts w:hint="eastAsia" w:ascii="仿宋" w:hAnsi="仿宋" w:eastAsia="仿宋" w:cs="宋体"/>
                <w:color w:val="000000" w:themeColor="text1"/>
                <w:kern w:val="0"/>
                <w:sz w:val="30"/>
                <w:szCs w:val="30"/>
                <w14:textFill>
                  <w14:solidFill>
                    <w14:schemeClr w14:val="tx1"/>
                  </w14:solidFill>
                </w14:textFill>
              </w:rPr>
              <w:t>2.跟进实习人员投诉案件；</w:t>
            </w:r>
          </w:p>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cs="宋体"/>
                <w:color w:val="000000" w:themeColor="text1"/>
                <w:kern w:val="0"/>
                <w:sz w:val="30"/>
                <w:szCs w:val="30"/>
                <w14:textFill>
                  <w14:solidFill>
                    <w14:schemeClr w14:val="tx1"/>
                  </w14:solidFill>
                </w14:textFill>
              </w:rPr>
            </w:pPr>
            <w:r>
              <w:rPr>
                <w:rFonts w:hint="eastAsia" w:ascii="仿宋" w:hAnsi="仿宋" w:eastAsia="仿宋" w:cs="宋体"/>
                <w:color w:val="000000" w:themeColor="text1"/>
                <w:kern w:val="0"/>
                <w:sz w:val="30"/>
                <w:szCs w:val="30"/>
                <w14:textFill>
                  <w14:solidFill>
                    <w14:schemeClr w14:val="tx1"/>
                  </w14:solidFill>
                </w14:textFill>
              </w:rPr>
              <w:t>3.审核60余份实习管理相关文书；</w:t>
            </w:r>
          </w:p>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default" w:ascii="仿宋" w:hAnsi="仿宋" w:eastAsia="仿宋"/>
                <w:kern w:val="0"/>
                <w:sz w:val="30"/>
                <w:szCs w:val="30"/>
                <w:lang w:val="en-US" w:eastAsia="zh-CN"/>
              </w:rPr>
            </w:pPr>
            <w:r>
              <w:rPr>
                <w:rFonts w:hint="eastAsia" w:ascii="仿宋" w:hAnsi="仿宋" w:eastAsia="仿宋" w:cs="宋体"/>
                <w:color w:val="000000" w:themeColor="text1"/>
                <w:kern w:val="0"/>
                <w:sz w:val="30"/>
                <w:szCs w:val="30"/>
                <w:lang w:val="en-US" w:eastAsia="zh-CN"/>
                <w14:textFill>
                  <w14:solidFill>
                    <w14:schemeClr w14:val="tx1"/>
                  </w14:solidFill>
                </w14:textFill>
              </w:rPr>
              <w:t>4.</w:t>
            </w:r>
            <w:r>
              <w:rPr>
                <w:rFonts w:hint="eastAsia" w:ascii="仿宋" w:hAnsi="仿宋" w:eastAsia="仿宋" w:cs="宋体"/>
                <w:color w:val="000000" w:themeColor="text1"/>
                <w:kern w:val="0"/>
                <w:sz w:val="30"/>
                <w:szCs w:val="30"/>
                <w14:textFill>
                  <w14:solidFill>
                    <w14:schemeClr w14:val="tx1"/>
                  </w14:solidFill>
                </w14:textFill>
              </w:rPr>
              <w:t>组织30场255人次实习期满面试考核工作。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Calibri"/>
                <w:kern w:val="0"/>
                <w:sz w:val="32"/>
                <w:szCs w:val="32"/>
              </w:rPr>
            </w:pPr>
            <w:r>
              <w:rPr>
                <w:rFonts w:hint="eastAsia" w:ascii="仿宋" w:hAnsi="仿宋" w:eastAsia="仿宋"/>
                <w:color w:val="000000"/>
                <w:kern w:val="0"/>
                <w:sz w:val="30"/>
                <w:szCs w:val="30"/>
              </w:rPr>
              <w:t>1</w:t>
            </w:r>
            <w:r>
              <w:rPr>
                <w:rFonts w:ascii="仿宋" w:hAnsi="仿宋" w:eastAsia="仿宋"/>
                <w:color w:val="000000"/>
                <w:kern w:val="0"/>
                <w:sz w:val="30"/>
                <w:szCs w:val="30"/>
              </w:rPr>
              <w:t>5</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文艺与福利</w:t>
            </w:r>
          </w:p>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ascii="仿宋" w:hAnsi="仿宋" w:eastAsia="仿宋"/>
                <w:color w:val="000000" w:themeColor="text1"/>
                <w:kern w:val="0"/>
                <w:sz w:val="30"/>
                <w:szCs w:val="30"/>
                <w:highlight w:val="none"/>
                <w14:textFill>
                  <w14:solidFill>
                    <w14:schemeClr w14:val="tx1"/>
                  </w14:solidFill>
                </w14:textFill>
              </w:rPr>
              <w:t>工作委员会</w:t>
            </w:r>
          </w:p>
        </w:tc>
        <w:tc>
          <w:tcPr>
            <w:tcW w:w="1418"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任杰</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30"/>
                <w:szCs w:val="30"/>
              </w:rPr>
              <w:t>江定航</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1.组织深圳律师艺术团合唱团排练；</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2.组织全市律师执业体检。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Calibri"/>
                <w:kern w:val="0"/>
                <w:sz w:val="32"/>
                <w:szCs w:val="32"/>
              </w:rPr>
            </w:pPr>
            <w:r>
              <w:rPr>
                <w:rFonts w:hint="eastAsia" w:ascii="仿宋" w:hAnsi="仿宋" w:eastAsia="仿宋"/>
                <w:color w:val="000000"/>
                <w:kern w:val="0"/>
                <w:sz w:val="30"/>
                <w:szCs w:val="30"/>
              </w:rPr>
              <w:t>1</w:t>
            </w:r>
            <w:r>
              <w:rPr>
                <w:rFonts w:ascii="仿宋" w:hAnsi="仿宋" w:eastAsia="仿宋"/>
                <w:color w:val="000000"/>
                <w:kern w:val="0"/>
                <w:sz w:val="30"/>
                <w:szCs w:val="30"/>
              </w:rPr>
              <w:t>6</w:t>
            </w:r>
          </w:p>
        </w:tc>
        <w:tc>
          <w:tcPr>
            <w:tcW w:w="2947" w:type="dxa"/>
            <w:shd w:val="clear" w:color="auto" w:fill="auto"/>
            <w:vAlign w:val="center"/>
          </w:tcPr>
          <w:p>
            <w:pPr>
              <w:widowControl/>
              <w:spacing w:line="400" w:lineRule="exact"/>
              <w:jc w:val="center"/>
              <w:rPr>
                <w:rFonts w:ascii="仿宋" w:hAnsi="仿宋" w:eastAsia="仿宋"/>
                <w:color w:val="000000" w:themeColor="text1"/>
                <w:kern w:val="0"/>
                <w:sz w:val="30"/>
                <w:szCs w:val="30"/>
                <w:highlight w:val="none"/>
                <w14:textFill>
                  <w14:solidFill>
                    <w14:schemeClr w14:val="tx1"/>
                  </w14:solidFill>
                </w14:textFill>
              </w:rPr>
            </w:pPr>
            <w:r>
              <w:rPr>
                <w:rFonts w:ascii="仿宋" w:hAnsi="仿宋" w:eastAsia="仿宋"/>
                <w:color w:val="000000" w:themeColor="text1"/>
                <w:kern w:val="0"/>
                <w:sz w:val="30"/>
                <w:szCs w:val="30"/>
                <w:highlight w:val="none"/>
                <w14:textFill>
                  <w14:solidFill>
                    <w14:schemeClr w14:val="tx1"/>
                  </w14:solidFill>
                </w14:textFill>
              </w:rPr>
              <w:t>会员与律师代表</w:t>
            </w:r>
          </w:p>
          <w:p>
            <w:pPr>
              <w:widowControl/>
              <w:spacing w:line="560" w:lineRule="exact"/>
              <w:jc w:val="center"/>
              <w:rPr>
                <w:rFonts w:ascii="仿宋" w:hAnsi="仿宋" w:eastAsia="仿宋" w:cs="Calibri"/>
                <w:color w:val="FF0000"/>
                <w:kern w:val="0"/>
                <w:sz w:val="32"/>
                <w:szCs w:val="32"/>
              </w:rPr>
            </w:pPr>
            <w:r>
              <w:rPr>
                <w:rFonts w:ascii="仿宋" w:hAnsi="仿宋" w:eastAsia="仿宋"/>
                <w:color w:val="000000" w:themeColor="text1"/>
                <w:kern w:val="0"/>
                <w:sz w:val="30"/>
                <w:szCs w:val="30"/>
                <w:highlight w:val="none"/>
                <w14:textFill>
                  <w14:solidFill>
                    <w14:schemeClr w14:val="tx1"/>
                  </w14:solidFill>
                </w14:textFill>
              </w:rPr>
              <w:t>工作委员会</w:t>
            </w:r>
          </w:p>
        </w:tc>
        <w:tc>
          <w:tcPr>
            <w:tcW w:w="1418" w:type="dxa"/>
            <w:shd w:val="clear" w:color="auto" w:fill="auto"/>
            <w:vAlign w:val="center"/>
          </w:tcPr>
          <w:p>
            <w:pPr>
              <w:widowControl/>
              <w:spacing w:line="560" w:lineRule="exact"/>
              <w:jc w:val="center"/>
              <w:rPr>
                <w:rFonts w:ascii="仿宋" w:hAnsi="仿宋" w:eastAsia="仿宋" w:cs="Calibri"/>
                <w:kern w:val="0"/>
                <w:sz w:val="32"/>
                <w:szCs w:val="32"/>
              </w:rPr>
            </w:pPr>
            <w:r>
              <w:rPr>
                <w:rFonts w:ascii="仿宋" w:hAnsi="仿宋" w:eastAsia="仿宋"/>
                <w:color w:val="000000"/>
                <w:kern w:val="0"/>
                <w:sz w:val="30"/>
                <w:szCs w:val="30"/>
              </w:rPr>
              <w:t>潘翔</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ascii="仿宋" w:hAnsi="仿宋" w:eastAsia="仿宋"/>
                <w:color w:val="000000"/>
                <w:kern w:val="0"/>
                <w:sz w:val="30"/>
                <w:szCs w:val="30"/>
              </w:rPr>
              <w:t>蔡华</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1.审核律所收费备案文件</w:t>
            </w:r>
            <w:r>
              <w:rPr>
                <w:rFonts w:hint="eastAsia" w:ascii="仿宋" w:hAnsi="仿宋" w:eastAsia="仿宋"/>
                <w:kern w:val="0"/>
                <w:sz w:val="30"/>
                <w:szCs w:val="30"/>
                <w:lang w:eastAsia="zh-CN"/>
              </w:rPr>
              <w:t>；</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2.协助召开律师代表大会的筹备工作。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40" w:firstLineChars="50"/>
              <w:jc w:val="center"/>
              <w:rPr>
                <w:rFonts w:ascii="仿宋" w:hAnsi="仿宋" w:eastAsia="仿宋" w:cs="Calibri"/>
                <w:kern w:val="0"/>
                <w:sz w:val="32"/>
                <w:szCs w:val="32"/>
              </w:rPr>
            </w:pPr>
            <w:r>
              <w:rPr>
                <w:rFonts w:hint="eastAsia" w:ascii="仿宋" w:hAnsi="仿宋" w:eastAsia="仿宋"/>
                <w:color w:val="000000"/>
                <w:kern w:val="0"/>
                <w:sz w:val="28"/>
                <w:szCs w:val="24"/>
              </w:rPr>
              <w:t>1</w:t>
            </w:r>
            <w:r>
              <w:rPr>
                <w:rFonts w:ascii="仿宋" w:hAnsi="仿宋" w:eastAsia="仿宋"/>
                <w:color w:val="000000"/>
                <w:kern w:val="0"/>
                <w:sz w:val="28"/>
                <w:szCs w:val="24"/>
              </w:rPr>
              <w:t>7</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业务创新与发展</w:t>
            </w:r>
          </w:p>
          <w:p>
            <w:pPr>
              <w:widowControl/>
              <w:spacing w:line="560" w:lineRule="exact"/>
              <w:jc w:val="center"/>
              <w:rPr>
                <w:rFonts w:ascii="仿宋" w:hAnsi="仿宋" w:eastAsia="仿宋" w:cs="Calibri"/>
                <w:color w:val="FF0000"/>
                <w:kern w:val="0"/>
                <w:sz w:val="32"/>
                <w:szCs w:val="32"/>
              </w:rPr>
            </w:pPr>
            <w:r>
              <w:rPr>
                <w:rFonts w:ascii="仿宋" w:hAnsi="仿宋" w:eastAsia="仿宋"/>
                <w:color w:val="000000" w:themeColor="text1"/>
                <w:kern w:val="0"/>
                <w:sz w:val="30"/>
                <w:szCs w:val="30"/>
                <w:highlight w:val="none"/>
                <w14:textFill>
                  <w14:solidFill>
                    <w14:schemeClr w14:val="tx1"/>
                  </w14:solidFill>
                </w14:textFill>
              </w:rPr>
              <w:t>委员会</w:t>
            </w:r>
          </w:p>
        </w:tc>
        <w:tc>
          <w:tcPr>
            <w:tcW w:w="1418"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28"/>
                <w:szCs w:val="24"/>
              </w:rPr>
              <w:t>李军强</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28"/>
                <w:szCs w:val="24"/>
              </w:rPr>
              <w:t>尹成刚</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1.开展2021年律师实务专著工作，公布选题立项</w:t>
            </w:r>
            <w:r>
              <w:rPr>
                <w:rFonts w:hint="eastAsia" w:ascii="仿宋" w:hAnsi="仿宋" w:eastAsia="仿宋"/>
                <w:kern w:val="0"/>
                <w:sz w:val="30"/>
                <w:szCs w:val="30"/>
                <w:lang w:eastAsia="zh-CN"/>
              </w:rPr>
              <w:t>；</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2.开展深圳市遗产管理人律师库入库（第二批）工作，完成建议名单报告</w:t>
            </w:r>
            <w:r>
              <w:rPr>
                <w:rFonts w:hint="eastAsia" w:ascii="仿宋" w:hAnsi="仿宋" w:eastAsia="仿宋"/>
                <w:kern w:val="0"/>
                <w:sz w:val="30"/>
                <w:szCs w:val="30"/>
                <w:lang w:eastAsia="zh-CN"/>
              </w:rPr>
              <w:t>；</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3.审核、审批家族委活动申请</w:t>
            </w:r>
            <w:r>
              <w:rPr>
                <w:rFonts w:hint="eastAsia" w:ascii="仿宋" w:hAnsi="仿宋" w:eastAsia="仿宋"/>
                <w:kern w:val="0"/>
                <w:sz w:val="30"/>
                <w:szCs w:val="30"/>
                <w:lang w:eastAsia="zh-CN"/>
              </w:rPr>
              <w:t>；</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4.审核4篇法律资讯、业务研究</w:t>
            </w:r>
            <w:r>
              <w:rPr>
                <w:rFonts w:hint="eastAsia" w:ascii="仿宋" w:hAnsi="仿宋" w:eastAsia="仿宋"/>
                <w:kern w:val="0"/>
                <w:sz w:val="30"/>
                <w:szCs w:val="30"/>
                <w:lang w:eastAsia="zh-CN"/>
              </w:rPr>
              <w:t>；</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rPr>
              <w:t>5.处理办文</w:t>
            </w:r>
            <w:r>
              <w:rPr>
                <w:rFonts w:hint="eastAsia" w:ascii="仿宋" w:hAnsi="仿宋" w:eastAsia="仿宋"/>
                <w:kern w:val="0"/>
                <w:sz w:val="30"/>
                <w:szCs w:val="30"/>
                <w:lang w:val="en-US" w:eastAsia="zh-CN"/>
              </w:rPr>
              <w:t>6件</w:t>
            </w:r>
            <w:r>
              <w:rPr>
                <w:rFonts w:hint="eastAsia" w:ascii="仿宋" w:hAnsi="仿宋" w:eastAsia="仿宋"/>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600" w:lineRule="exact"/>
              <w:ind w:firstLine="150" w:firstLineChars="50"/>
              <w:jc w:val="center"/>
              <w:rPr>
                <w:rFonts w:ascii="仿宋" w:hAnsi="仿宋" w:eastAsia="仿宋"/>
                <w:color w:val="000000"/>
                <w:kern w:val="0"/>
                <w:sz w:val="28"/>
                <w:szCs w:val="24"/>
              </w:rPr>
            </w:pPr>
            <w:r>
              <w:rPr>
                <w:rFonts w:ascii="仿宋" w:hAnsi="仿宋" w:eastAsia="仿宋" w:cs="仿宋"/>
                <w:kern w:val="0"/>
                <w:sz w:val="30"/>
                <w:szCs w:val="30"/>
              </w:rPr>
              <w:t>18</w:t>
            </w: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rPr>
                <w:rFonts w:ascii="仿宋" w:hAnsi="仿宋" w:eastAsia="仿宋" w:cs="仿宋"/>
                <w:color w:val="000000" w:themeColor="text1"/>
                <w:kern w:val="0"/>
                <w:sz w:val="30"/>
                <w:szCs w:val="30"/>
                <w:highlight w:val="none"/>
                <w14:textFill>
                  <w14:solidFill>
                    <w14:schemeClr w14:val="tx1"/>
                  </w14:solidFill>
                </w14:textFill>
              </w:rPr>
            </w:pPr>
            <w:r>
              <w:rPr>
                <w:rFonts w:ascii="仿宋" w:hAnsi="仿宋" w:eastAsia="仿宋" w:cs="仿宋"/>
                <w:color w:val="000000" w:themeColor="text1"/>
                <w:kern w:val="0"/>
                <w:sz w:val="30"/>
                <w:szCs w:val="30"/>
                <w:highlight w:val="none"/>
                <w:lang w:val="zh-TW" w:eastAsia="zh-TW"/>
                <w14:textFill>
                  <w14:solidFill>
                    <w14:schemeClr w14:val="tx1"/>
                  </w14:solidFill>
                </w14:textFill>
              </w:rPr>
              <w:t>行业发展战略</w:t>
            </w:r>
          </w:p>
          <w:p>
            <w:pPr>
              <w:widowControl/>
              <w:spacing w:line="560" w:lineRule="exact"/>
              <w:jc w:val="center"/>
              <w:rPr>
                <w:rFonts w:ascii="仿宋" w:hAnsi="仿宋" w:eastAsia="仿宋"/>
                <w:color w:val="FF0000"/>
                <w:kern w:val="0"/>
                <w:sz w:val="28"/>
                <w:szCs w:val="24"/>
              </w:rPr>
            </w:pPr>
            <w:r>
              <w:rPr>
                <w:rFonts w:ascii="仿宋" w:hAnsi="仿宋" w:eastAsia="仿宋" w:cs="仿宋"/>
                <w:color w:val="000000" w:themeColor="text1"/>
                <w:kern w:val="0"/>
                <w:sz w:val="30"/>
                <w:szCs w:val="30"/>
                <w:highlight w:val="none"/>
                <w:lang w:val="zh-TW" w:eastAsia="zh-TW"/>
                <w14:textFill>
                  <w14:solidFill>
                    <w14:schemeClr w14:val="tx1"/>
                  </w14:solidFill>
                </w14:textFill>
              </w:rPr>
              <w:t>委员会</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60" w:lineRule="exact"/>
              <w:jc w:val="center"/>
              <w:rPr>
                <w:rFonts w:ascii="仿宋" w:hAnsi="仿宋" w:eastAsia="仿宋"/>
                <w:color w:val="000000"/>
                <w:kern w:val="0"/>
                <w:sz w:val="28"/>
                <w:szCs w:val="24"/>
              </w:rPr>
            </w:pPr>
            <w:r>
              <w:rPr>
                <w:rFonts w:ascii="仿宋" w:hAnsi="仿宋" w:eastAsia="仿宋" w:cs="仿宋"/>
                <w:kern w:val="0"/>
                <w:sz w:val="30"/>
                <w:szCs w:val="30"/>
                <w:lang w:val="zh-TW" w:eastAsia="zh-TW"/>
              </w:rPr>
              <w:t>陈旭绯</w:t>
            </w:r>
          </w:p>
        </w:tc>
        <w:tc>
          <w:tcPr>
            <w:tcW w:w="1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60" w:lineRule="exact"/>
              <w:jc w:val="center"/>
              <w:rPr>
                <w:rFonts w:ascii="仿宋" w:hAnsi="仿宋" w:eastAsia="仿宋"/>
                <w:color w:val="000000"/>
                <w:kern w:val="0"/>
                <w:sz w:val="28"/>
                <w:szCs w:val="24"/>
              </w:rPr>
            </w:pPr>
            <w:r>
              <w:rPr>
                <w:rFonts w:ascii="仿宋" w:hAnsi="仿宋" w:eastAsia="仿宋" w:cs="仿宋"/>
                <w:kern w:val="0"/>
                <w:sz w:val="30"/>
                <w:szCs w:val="30"/>
                <w:lang w:val="zh-TW" w:eastAsia="zh-TW"/>
              </w:rPr>
              <w:t>汪腾锋</w:t>
            </w:r>
          </w:p>
        </w:tc>
        <w:tc>
          <w:tcPr>
            <w:tcW w:w="8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spacing w:line="560" w:lineRule="exact"/>
              <w:jc w:val="both"/>
              <w:textAlignment w:val="auto"/>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lang w:val="en-US" w:eastAsia="zh-CN"/>
                <w14:textFill>
                  <w14:solidFill>
                    <w14:schemeClr w14:val="tx1"/>
                  </w14:solidFill>
                </w14:textFill>
              </w:rPr>
              <w:t>1.</w:t>
            </w:r>
            <w:r>
              <w:rPr>
                <w:rFonts w:hint="eastAsia" w:ascii="仿宋" w:hAnsi="仿宋" w:eastAsia="仿宋"/>
                <w:color w:val="000000" w:themeColor="text1"/>
                <w:kern w:val="0"/>
                <w:sz w:val="30"/>
                <w:szCs w:val="30"/>
                <w14:textFill>
                  <w14:solidFill>
                    <w14:schemeClr w14:val="tx1"/>
                  </w14:solidFill>
                </w14:textFill>
              </w:rPr>
              <w:t>校对、审议《深圳市有关法律服务业发展扶持性政策文件汇编（2015—2021）》。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仿宋"/>
                <w:kern w:val="0"/>
                <w:sz w:val="30"/>
                <w:szCs w:val="30"/>
              </w:rPr>
            </w:pPr>
            <w:r>
              <w:rPr>
                <w:rFonts w:hint="eastAsia" w:ascii="仿宋" w:hAnsi="仿宋" w:eastAsia="仿宋"/>
                <w:kern w:val="0"/>
                <w:sz w:val="30"/>
                <w:szCs w:val="30"/>
              </w:rPr>
              <w:t>1</w:t>
            </w:r>
            <w:r>
              <w:rPr>
                <w:rFonts w:ascii="仿宋" w:hAnsi="仿宋" w:eastAsia="仿宋"/>
                <w:kern w:val="0"/>
                <w:sz w:val="30"/>
                <w:szCs w:val="30"/>
              </w:rPr>
              <w:t>9</w:t>
            </w:r>
          </w:p>
        </w:tc>
        <w:tc>
          <w:tcPr>
            <w:tcW w:w="2947" w:type="dxa"/>
            <w:shd w:val="clear" w:color="auto" w:fill="auto"/>
            <w:vAlign w:val="center"/>
          </w:tcPr>
          <w:p>
            <w:pPr>
              <w:widowControl/>
              <w:spacing w:line="400" w:lineRule="exact"/>
              <w:jc w:val="center"/>
              <w:rPr>
                <w:rFonts w:ascii="仿宋" w:hAnsi="仿宋" w:eastAsia="仿宋" w:cs="仿宋"/>
                <w:color w:val="FF0000"/>
                <w:kern w:val="0"/>
                <w:sz w:val="30"/>
                <w:szCs w:val="30"/>
                <w:lang w:val="zh-TW" w:eastAsia="zh-TW"/>
              </w:rPr>
            </w:pPr>
            <w:r>
              <w:rPr>
                <w:rFonts w:hint="eastAsia" w:ascii="仿宋" w:hAnsi="仿宋" w:eastAsia="仿宋"/>
                <w:color w:val="000000" w:themeColor="text1"/>
                <w:kern w:val="0"/>
                <w:sz w:val="30"/>
                <w:szCs w:val="30"/>
                <w:highlight w:val="none"/>
                <w14:textFill>
                  <w14:solidFill>
                    <w14:schemeClr w14:val="tx1"/>
                  </w14:solidFill>
                </w14:textFill>
              </w:rPr>
              <w:t>职</w:t>
            </w:r>
            <w:r>
              <w:rPr>
                <w:rFonts w:ascii="仿宋" w:hAnsi="仿宋" w:eastAsia="仿宋"/>
                <w:color w:val="000000" w:themeColor="text1"/>
                <w:kern w:val="0"/>
                <w:sz w:val="30"/>
                <w:szCs w:val="30"/>
                <w:highlight w:val="none"/>
                <w14:textFill>
                  <w14:solidFill>
                    <w14:schemeClr w14:val="tx1"/>
                  </w14:solidFill>
                </w14:textFill>
              </w:rPr>
              <w:t>业培训委员会</w:t>
            </w:r>
          </w:p>
        </w:tc>
        <w:tc>
          <w:tcPr>
            <w:tcW w:w="1418" w:type="dxa"/>
            <w:shd w:val="clear" w:color="auto" w:fill="auto"/>
            <w:vAlign w:val="center"/>
          </w:tcPr>
          <w:p>
            <w:pPr>
              <w:widowControl/>
              <w:spacing w:line="560" w:lineRule="exact"/>
              <w:jc w:val="center"/>
              <w:rPr>
                <w:rFonts w:ascii="仿宋" w:hAnsi="仿宋" w:eastAsia="仿宋" w:cs="仿宋"/>
                <w:kern w:val="0"/>
                <w:sz w:val="30"/>
                <w:szCs w:val="30"/>
                <w:lang w:val="zh-TW" w:eastAsia="zh-TW"/>
              </w:rPr>
            </w:pPr>
            <w:r>
              <w:rPr>
                <w:rFonts w:hint="eastAsia" w:ascii="仿宋" w:hAnsi="仿宋" w:eastAsia="仿宋"/>
                <w:kern w:val="0"/>
                <w:sz w:val="30"/>
                <w:szCs w:val="30"/>
              </w:rPr>
              <w:t>何</w:t>
            </w:r>
            <w:r>
              <w:rPr>
                <w:rFonts w:ascii="仿宋" w:hAnsi="仿宋" w:eastAsia="仿宋"/>
                <w:kern w:val="0"/>
                <w:sz w:val="30"/>
                <w:szCs w:val="30"/>
              </w:rPr>
              <w:t>志军</w:t>
            </w:r>
          </w:p>
        </w:tc>
        <w:tc>
          <w:tcPr>
            <w:tcW w:w="1559"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bCs/>
                <w:kern w:val="0"/>
                <w:sz w:val="30"/>
                <w:szCs w:val="30"/>
                <w:lang w:val="zh-TW" w:eastAsia="zh-TW"/>
              </w:rPr>
            </w:pPr>
            <w:r>
              <w:rPr>
                <w:rFonts w:hint="eastAsia" w:ascii="仿宋" w:hAnsi="仿宋" w:eastAsia="仿宋"/>
                <w:bCs/>
                <w:kern w:val="0"/>
                <w:sz w:val="30"/>
                <w:szCs w:val="30"/>
                <w:lang w:val="en-US" w:eastAsia="zh-CN"/>
              </w:rPr>
              <w:t>尹成刚</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bCs/>
                <w:kern w:val="0"/>
                <w:sz w:val="30"/>
                <w:szCs w:val="30"/>
              </w:rPr>
              <w:t>2</w:t>
            </w:r>
            <w:r>
              <w:rPr>
                <w:rFonts w:ascii="仿宋" w:hAnsi="仿宋" w:eastAsia="仿宋"/>
                <w:bCs/>
                <w:kern w:val="0"/>
                <w:sz w:val="30"/>
                <w:szCs w:val="30"/>
              </w:rPr>
              <w:t>0</w:t>
            </w:r>
          </w:p>
        </w:tc>
        <w:tc>
          <w:tcPr>
            <w:tcW w:w="2947" w:type="dxa"/>
            <w:shd w:val="clear" w:color="auto" w:fill="auto"/>
            <w:vAlign w:val="center"/>
          </w:tcPr>
          <w:p>
            <w:pPr>
              <w:widowControl/>
              <w:spacing w:line="400" w:lineRule="exact"/>
              <w:jc w:val="center"/>
              <w:rPr>
                <w:rFonts w:ascii="仿宋" w:hAnsi="仿宋" w:eastAsia="仿宋"/>
                <w:bCs/>
                <w:color w:val="FF0000"/>
                <w:kern w:val="0"/>
                <w:sz w:val="30"/>
                <w:szCs w:val="30"/>
              </w:rPr>
            </w:pPr>
            <w:r>
              <w:rPr>
                <w:rFonts w:hint="eastAsia" w:ascii="仿宋" w:hAnsi="仿宋" w:eastAsia="仿宋"/>
                <w:bCs/>
                <w:color w:val="000000" w:themeColor="text1"/>
                <w:kern w:val="0"/>
                <w:sz w:val="30"/>
                <w:szCs w:val="30"/>
                <w:highlight w:val="none"/>
                <w14:textFill>
                  <w14:solidFill>
                    <w14:schemeClr w14:val="tx1"/>
                  </w14:solidFill>
                </w14:textFill>
              </w:rPr>
              <w:t>宣传工作委员会</w:t>
            </w:r>
          </w:p>
        </w:tc>
        <w:tc>
          <w:tcPr>
            <w:tcW w:w="1418"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bCs/>
                <w:kern w:val="0"/>
                <w:sz w:val="30"/>
                <w:szCs w:val="30"/>
              </w:rPr>
              <w:t>陈伟</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bCs/>
                <w:kern w:val="0"/>
                <w:sz w:val="30"/>
                <w:szCs w:val="30"/>
              </w:rPr>
              <w:t>杨逍</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1.参加律师协会理事会；</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2.征集“学党史感党恩跟党走”——广东省司法行政系统庆祝中国共产党成立100周年专题艺术创作征集展览活动作品；</w:t>
            </w:r>
          </w:p>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bCs/>
                <w:kern w:val="0"/>
                <w:sz w:val="30"/>
                <w:szCs w:val="30"/>
              </w:rPr>
            </w:pPr>
            <w:r>
              <w:rPr>
                <w:rFonts w:hint="eastAsia" w:ascii="仿宋" w:hAnsi="仿宋" w:eastAsia="仿宋"/>
                <w:bCs/>
                <w:kern w:val="0"/>
                <w:sz w:val="30"/>
                <w:szCs w:val="30"/>
                <w:lang w:val="en-US" w:eastAsia="zh-CN"/>
              </w:rPr>
              <w:t>3.征集关于民法典相关的典型案例。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21</w:t>
            </w:r>
          </w:p>
        </w:tc>
        <w:tc>
          <w:tcPr>
            <w:tcW w:w="2947" w:type="dxa"/>
            <w:shd w:val="clear" w:color="auto" w:fill="auto"/>
            <w:vAlign w:val="center"/>
          </w:tcPr>
          <w:p>
            <w:pPr>
              <w:widowControl/>
              <w:spacing w:line="40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公共关系工作委员会</w:t>
            </w:r>
          </w:p>
        </w:tc>
        <w:tc>
          <w:tcPr>
            <w:tcW w:w="1418"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丁超群</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曾迈</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1.参加律师协会的理事会；</w:t>
            </w:r>
            <w:bookmarkStart w:id="0" w:name="_GoBack"/>
            <w:bookmarkEnd w:id="0"/>
          </w:p>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bCs/>
                <w:kern w:val="0"/>
                <w:sz w:val="30"/>
                <w:szCs w:val="30"/>
              </w:rPr>
            </w:pPr>
            <w:r>
              <w:rPr>
                <w:rFonts w:hint="eastAsia" w:ascii="仿宋" w:hAnsi="仿宋" w:eastAsia="仿宋"/>
                <w:bCs/>
                <w:kern w:val="0"/>
                <w:sz w:val="30"/>
                <w:szCs w:val="30"/>
                <w:lang w:val="en-US" w:eastAsia="zh-CN"/>
              </w:rPr>
              <w:t>2.参予党建活动，督促11家所完成党建任务。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22</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律师事务所管理与</w:t>
            </w:r>
          </w:p>
          <w:p>
            <w:pPr>
              <w:widowControl/>
              <w:spacing w:line="400" w:lineRule="exact"/>
              <w:jc w:val="center"/>
              <w:rPr>
                <w:rFonts w:ascii="仿宋" w:hAnsi="仿宋" w:eastAsia="仿宋"/>
                <w:bCs/>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合作促进委员会</w:t>
            </w:r>
          </w:p>
        </w:tc>
        <w:tc>
          <w:tcPr>
            <w:tcW w:w="1418"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罗振辉</w:t>
            </w:r>
          </w:p>
        </w:tc>
        <w:tc>
          <w:tcPr>
            <w:tcW w:w="1559" w:type="dxa"/>
            <w:shd w:val="clear" w:color="auto" w:fill="auto"/>
            <w:vAlign w:val="center"/>
          </w:tcPr>
          <w:p>
            <w:pPr>
              <w:widowControl/>
              <w:spacing w:line="560" w:lineRule="exact"/>
              <w:jc w:val="center"/>
              <w:rPr>
                <w:rFonts w:hint="eastAsia" w:ascii="仿宋" w:hAnsi="仿宋" w:eastAsia="仿宋"/>
                <w:bCs/>
                <w:kern w:val="0"/>
                <w:sz w:val="30"/>
                <w:szCs w:val="30"/>
                <w:lang w:eastAsia="zh-CN"/>
              </w:rPr>
            </w:pPr>
            <w:r>
              <w:rPr>
                <w:rFonts w:hint="eastAsia" w:ascii="仿宋" w:hAnsi="仿宋" w:eastAsia="仿宋"/>
                <w:color w:val="000000"/>
                <w:kern w:val="0"/>
                <w:sz w:val="30"/>
                <w:szCs w:val="30"/>
                <w:lang w:val="en-US" w:eastAsia="zh-CN"/>
              </w:rPr>
              <w:t>章成</w:t>
            </w:r>
          </w:p>
        </w:tc>
        <w:tc>
          <w:tcPr>
            <w:tcW w:w="8653"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 xml:space="preserve">1.参加律师协会理事会；  </w:t>
            </w:r>
          </w:p>
          <w:p>
            <w:pPr>
              <w:keepNext w:val="0"/>
              <w:keepLines w:val="0"/>
              <w:pageBreakBefore w:val="0"/>
              <w:widowControl/>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2.9月30日，与深圳蓝凌软件就深圳律师智慧系统收到到的的反馈进行商议，积极对深圳各律师事务所的智慧系统进行调整，完善配置；</w:t>
            </w:r>
          </w:p>
          <w:p>
            <w:pPr>
              <w:keepNext w:val="0"/>
              <w:keepLines w:val="0"/>
              <w:pageBreakBefore w:val="0"/>
              <w:widowControl/>
              <w:numPr>
                <w:ilvl w:val="0"/>
                <w:numId w:val="0"/>
              </w:numPr>
              <w:kinsoku/>
              <w:wordWrap/>
              <w:overflowPunct/>
              <w:topLinePunct w:val="0"/>
              <w:autoSpaceDE/>
              <w:autoSpaceDN/>
              <w:bidi w:val="0"/>
              <w:spacing w:line="560" w:lineRule="exact"/>
              <w:ind w:leftChars="0"/>
              <w:jc w:val="both"/>
              <w:textAlignment w:val="auto"/>
              <w:rPr>
                <w:rFonts w:ascii="仿宋" w:hAnsi="仿宋" w:eastAsia="仿宋"/>
                <w:bCs/>
                <w:kern w:val="0"/>
                <w:sz w:val="30"/>
                <w:szCs w:val="30"/>
              </w:rPr>
            </w:pPr>
            <w:r>
              <w:rPr>
                <w:rFonts w:hint="eastAsia" w:ascii="仿宋" w:hAnsi="仿宋" w:eastAsia="仿宋"/>
                <w:bCs/>
                <w:kern w:val="0"/>
                <w:sz w:val="30"/>
                <w:szCs w:val="30"/>
                <w:lang w:val="en-US" w:eastAsia="zh-CN"/>
              </w:rPr>
              <w:t>3.9月31日，同杨逍副会长一起商议修订“深圳智慧律师系统软件开发”项目验收报告内容，对其中41条系统问题逐一确认并同深圳蓝凌软件公司对其中17条做备忘补充合同。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23</w:t>
            </w:r>
          </w:p>
        </w:tc>
        <w:tc>
          <w:tcPr>
            <w:tcW w:w="2947" w:type="dxa"/>
            <w:shd w:val="clear" w:color="auto" w:fill="auto"/>
            <w:vAlign w:val="center"/>
          </w:tcPr>
          <w:p>
            <w:pPr>
              <w:widowControl/>
              <w:spacing w:line="400" w:lineRule="exact"/>
              <w:jc w:val="center"/>
              <w:rPr>
                <w:rFonts w:ascii="仿宋" w:hAnsi="仿宋" w:eastAsia="仿宋"/>
                <w:bCs/>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青年律师工作委员会</w:t>
            </w:r>
          </w:p>
        </w:tc>
        <w:tc>
          <w:tcPr>
            <w:tcW w:w="1418"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王伟</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杨逍</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eastAsia="zh-CN"/>
              </w:rPr>
            </w:pPr>
            <w:r>
              <w:rPr>
                <w:rFonts w:hint="eastAsia" w:ascii="仿宋" w:hAnsi="仿宋" w:eastAsia="仿宋"/>
                <w:bCs/>
                <w:kern w:val="0"/>
                <w:sz w:val="30"/>
                <w:szCs w:val="30"/>
              </w:rPr>
              <w:t>1.9月10日，由深圳市律师协会主办，市律师协会青年律师工作委员会与广东鸿湾律师事务所共同承办的“深圳市青年律师悦读书”活动之线下讲书活动（第三、四期）在广东鸿湾律师事务所成功举行。本次活动共有十一位青年律师讲书人参赛，邀请市律协副会长杨逍，第七、八届深圳市律师协会副会长、广东鸿湾律师事务所负责人梁建东，中华全国律师协会青年律师工作委员会委员、广东华商律师事务所高级合伙人陈妙财担任评委嘉宾，活动由市律协青工委主任王伟主持</w:t>
            </w:r>
            <w:r>
              <w:rPr>
                <w:rFonts w:hint="eastAsia" w:ascii="仿宋" w:hAnsi="仿宋" w:eastAsia="仿宋"/>
                <w:bCs/>
                <w:kern w:val="0"/>
                <w:sz w:val="30"/>
                <w:szCs w:val="30"/>
                <w:lang w:eastAsia="zh-CN"/>
              </w:rPr>
              <w:t>；</w:t>
            </w:r>
          </w:p>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bCs/>
                <w:kern w:val="0"/>
                <w:sz w:val="30"/>
                <w:szCs w:val="30"/>
              </w:rPr>
            </w:pPr>
            <w:r>
              <w:rPr>
                <w:rFonts w:hint="eastAsia" w:ascii="仿宋" w:hAnsi="仿宋" w:eastAsia="仿宋"/>
                <w:bCs/>
                <w:kern w:val="0"/>
                <w:sz w:val="30"/>
                <w:szCs w:val="30"/>
              </w:rPr>
              <w:t>2.9月14日，市律协青工委组织第十四期青年律师研修班部分学员拜访中兴通讯股份有限公司总部，与公司出口管制合规部代表就企业出口管制合规领域的实务学习交流。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24</w:t>
            </w:r>
          </w:p>
        </w:tc>
        <w:tc>
          <w:tcPr>
            <w:tcW w:w="2947" w:type="dxa"/>
            <w:shd w:val="clear" w:color="auto" w:fill="auto"/>
            <w:vAlign w:val="center"/>
          </w:tcPr>
          <w:p>
            <w:pPr>
              <w:widowControl/>
              <w:spacing w:line="400" w:lineRule="exact"/>
              <w:jc w:val="center"/>
              <w:rPr>
                <w:rFonts w:ascii="仿宋" w:hAnsi="仿宋" w:eastAsia="仿宋"/>
                <w:bCs/>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中小型</w:t>
            </w:r>
            <w:r>
              <w:rPr>
                <w:rFonts w:ascii="仿宋" w:hAnsi="仿宋" w:eastAsia="仿宋"/>
                <w:color w:val="000000" w:themeColor="text1"/>
                <w:kern w:val="0"/>
                <w:sz w:val="30"/>
                <w:szCs w:val="30"/>
                <w:highlight w:val="none"/>
                <w14:textFill>
                  <w14:solidFill>
                    <w14:schemeClr w14:val="tx1"/>
                  </w14:solidFill>
                </w14:textFill>
              </w:rPr>
              <w:t>律师事务所</w:t>
            </w:r>
            <w:r>
              <w:rPr>
                <w:rFonts w:hint="eastAsia" w:ascii="仿宋" w:hAnsi="仿宋" w:eastAsia="仿宋"/>
                <w:color w:val="000000" w:themeColor="text1"/>
                <w:kern w:val="0"/>
                <w:sz w:val="30"/>
                <w:szCs w:val="30"/>
                <w:highlight w:val="none"/>
                <w14:textFill>
                  <w14:solidFill>
                    <w14:schemeClr w14:val="tx1"/>
                  </w14:solidFill>
                </w14:textFill>
              </w:rPr>
              <w:t xml:space="preserve"> </w:t>
            </w:r>
            <w:r>
              <w:rPr>
                <w:rFonts w:ascii="仿宋" w:hAnsi="仿宋" w:eastAsia="仿宋"/>
                <w:color w:val="000000" w:themeColor="text1"/>
                <w:kern w:val="0"/>
                <w:sz w:val="30"/>
                <w:szCs w:val="30"/>
                <w:highlight w:val="none"/>
                <w14:textFill>
                  <w14:solidFill>
                    <w14:schemeClr w14:val="tx1"/>
                  </w14:solidFill>
                </w14:textFill>
              </w:rPr>
              <w:t>发展</w:t>
            </w:r>
            <w:r>
              <w:rPr>
                <w:rFonts w:hint="eastAsia" w:ascii="仿宋" w:hAnsi="仿宋" w:eastAsia="仿宋"/>
                <w:color w:val="000000" w:themeColor="text1"/>
                <w:kern w:val="0"/>
                <w:sz w:val="30"/>
                <w:szCs w:val="30"/>
                <w:highlight w:val="none"/>
                <w14:textFill>
                  <w14:solidFill>
                    <w14:schemeClr w14:val="tx1"/>
                  </w14:solidFill>
                </w14:textFill>
              </w:rPr>
              <w:t>与</w:t>
            </w:r>
            <w:r>
              <w:rPr>
                <w:rFonts w:ascii="仿宋" w:hAnsi="仿宋" w:eastAsia="仿宋"/>
                <w:color w:val="000000" w:themeColor="text1"/>
                <w:kern w:val="0"/>
                <w:sz w:val="30"/>
                <w:szCs w:val="30"/>
                <w:highlight w:val="none"/>
                <w14:textFill>
                  <w14:solidFill>
                    <w14:schemeClr w14:val="tx1"/>
                  </w14:solidFill>
                </w14:textFill>
              </w:rPr>
              <w:t>指导委员会</w:t>
            </w:r>
          </w:p>
        </w:tc>
        <w:tc>
          <w:tcPr>
            <w:tcW w:w="1418"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余招胜</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杨逍</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bCs/>
                <w:kern w:val="0"/>
                <w:sz w:val="30"/>
                <w:szCs w:val="30"/>
              </w:rPr>
            </w:pPr>
            <w:r>
              <w:rPr>
                <w:rFonts w:hint="eastAsia" w:ascii="仿宋" w:hAnsi="仿宋" w:eastAsia="仿宋"/>
                <w:bCs/>
                <w:kern w:val="0"/>
                <w:sz w:val="30"/>
                <w:szCs w:val="30"/>
              </w:rPr>
              <w:t>1.参加</w:t>
            </w:r>
            <w:r>
              <w:rPr>
                <w:rFonts w:hint="eastAsia" w:ascii="仿宋" w:hAnsi="仿宋" w:eastAsia="仿宋"/>
                <w:bCs/>
                <w:kern w:val="0"/>
                <w:sz w:val="30"/>
                <w:szCs w:val="30"/>
                <w:lang w:val="en-US" w:eastAsia="zh-CN"/>
              </w:rPr>
              <w:t>市律协</w:t>
            </w:r>
            <w:r>
              <w:rPr>
                <w:rFonts w:hint="eastAsia" w:ascii="仿宋" w:hAnsi="仿宋" w:eastAsia="仿宋"/>
                <w:bCs/>
                <w:kern w:val="0"/>
                <w:sz w:val="30"/>
                <w:szCs w:val="30"/>
              </w:rPr>
              <w:t>理事会。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25</w:t>
            </w:r>
          </w:p>
        </w:tc>
        <w:tc>
          <w:tcPr>
            <w:tcW w:w="2947" w:type="dxa"/>
            <w:shd w:val="clear" w:color="auto" w:fill="auto"/>
            <w:vAlign w:val="center"/>
          </w:tcPr>
          <w:p>
            <w:pPr>
              <w:widowControl/>
              <w:spacing w:line="400" w:lineRule="exact"/>
              <w:jc w:val="center"/>
              <w:rPr>
                <w:rFonts w:ascii="仿宋" w:hAnsi="仿宋" w:eastAsia="仿宋"/>
                <w:bCs/>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规章制度工作委员会</w:t>
            </w:r>
          </w:p>
        </w:tc>
        <w:tc>
          <w:tcPr>
            <w:tcW w:w="1418"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兰才明</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杨逍</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bCs/>
                <w:kern w:val="0"/>
                <w:sz w:val="30"/>
                <w:szCs w:val="30"/>
              </w:rPr>
            </w:pPr>
            <w:r>
              <w:rPr>
                <w:rFonts w:hint="eastAsia" w:ascii="仿宋" w:hAnsi="仿宋" w:eastAsia="仿宋"/>
                <w:bCs/>
                <w:kern w:val="0"/>
                <w:sz w:val="30"/>
                <w:szCs w:val="30"/>
              </w:rPr>
              <w:t>1.参加</w:t>
            </w:r>
            <w:r>
              <w:rPr>
                <w:rFonts w:hint="eastAsia" w:ascii="仿宋" w:hAnsi="仿宋" w:eastAsia="仿宋"/>
                <w:bCs/>
                <w:kern w:val="0"/>
                <w:sz w:val="30"/>
                <w:szCs w:val="30"/>
                <w:lang w:val="en-US" w:eastAsia="zh-CN"/>
              </w:rPr>
              <w:t>市律协</w:t>
            </w:r>
            <w:r>
              <w:rPr>
                <w:rFonts w:hint="eastAsia" w:ascii="仿宋" w:hAnsi="仿宋" w:eastAsia="仿宋"/>
                <w:bCs/>
                <w:kern w:val="0"/>
                <w:sz w:val="30"/>
                <w:szCs w:val="30"/>
              </w:rPr>
              <w:t>理事会。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olor w:val="000000"/>
                <w:kern w:val="0"/>
                <w:sz w:val="30"/>
                <w:szCs w:val="30"/>
              </w:rPr>
            </w:pPr>
            <w:r>
              <w:rPr>
                <w:rFonts w:hint="eastAsia" w:ascii="仿宋" w:hAnsi="仿宋" w:eastAsia="仿宋"/>
                <w:color w:val="000000"/>
                <w:kern w:val="0"/>
                <w:sz w:val="30"/>
                <w:szCs w:val="30"/>
              </w:rPr>
              <w:t>2</w:t>
            </w:r>
            <w:r>
              <w:rPr>
                <w:rFonts w:ascii="仿宋" w:hAnsi="仿宋" w:eastAsia="仿宋"/>
                <w:color w:val="000000"/>
                <w:kern w:val="0"/>
                <w:sz w:val="30"/>
                <w:szCs w:val="30"/>
              </w:rPr>
              <w:t>6</w:t>
            </w:r>
          </w:p>
        </w:tc>
        <w:tc>
          <w:tcPr>
            <w:tcW w:w="2947" w:type="dxa"/>
            <w:shd w:val="clear" w:color="auto" w:fill="auto"/>
            <w:vAlign w:val="center"/>
          </w:tcPr>
          <w:p>
            <w:pPr>
              <w:widowControl/>
              <w:spacing w:line="400" w:lineRule="exact"/>
              <w:jc w:val="center"/>
              <w:rPr>
                <w:rFonts w:ascii="仿宋" w:hAnsi="仿宋" w:eastAsia="仿宋"/>
                <w:color w:val="FF0000"/>
                <w:kern w:val="0"/>
                <w:sz w:val="30"/>
                <w:szCs w:val="30"/>
              </w:rPr>
            </w:pPr>
            <w:r>
              <w:rPr>
                <w:rFonts w:hint="eastAsia" w:ascii="仿宋" w:hAnsi="仿宋" w:eastAsia="仿宋"/>
                <w:color w:val="000000" w:themeColor="text1"/>
                <w:kern w:val="0"/>
                <w:sz w:val="30"/>
                <w:szCs w:val="30"/>
                <w14:textFill>
                  <w14:solidFill>
                    <w14:schemeClr w14:val="tx1"/>
                  </w14:solidFill>
                </w14:textFill>
              </w:rPr>
              <w:t>财务与资产管理委员会</w:t>
            </w:r>
          </w:p>
        </w:tc>
        <w:tc>
          <w:tcPr>
            <w:tcW w:w="1418" w:type="dxa"/>
            <w:shd w:val="clear" w:color="auto" w:fill="auto"/>
            <w:vAlign w:val="center"/>
          </w:tcPr>
          <w:p>
            <w:pPr>
              <w:widowControl/>
              <w:spacing w:line="560" w:lineRule="exact"/>
              <w:jc w:val="center"/>
              <w:rPr>
                <w:rFonts w:ascii="仿宋" w:hAnsi="仿宋" w:eastAsia="仿宋"/>
                <w:color w:val="000000"/>
                <w:kern w:val="0"/>
                <w:sz w:val="30"/>
                <w:szCs w:val="30"/>
              </w:rPr>
            </w:pPr>
            <w:r>
              <w:rPr>
                <w:rFonts w:hint="eastAsia" w:ascii="仿宋" w:hAnsi="仿宋" w:eastAsia="仿宋"/>
                <w:kern w:val="0"/>
                <w:sz w:val="30"/>
                <w:szCs w:val="30"/>
              </w:rPr>
              <w:t>黄文娟</w:t>
            </w:r>
          </w:p>
        </w:tc>
        <w:tc>
          <w:tcPr>
            <w:tcW w:w="1559" w:type="dxa"/>
            <w:shd w:val="clear" w:color="auto" w:fill="auto"/>
            <w:vAlign w:val="center"/>
          </w:tcPr>
          <w:p>
            <w:pPr>
              <w:widowControl/>
              <w:spacing w:line="560" w:lineRule="exact"/>
              <w:jc w:val="center"/>
              <w:rPr>
                <w:rFonts w:ascii="仿宋" w:hAnsi="仿宋" w:eastAsia="仿宋"/>
                <w:color w:val="000000"/>
                <w:kern w:val="0"/>
                <w:sz w:val="30"/>
                <w:szCs w:val="30"/>
              </w:rPr>
            </w:pPr>
            <w:r>
              <w:rPr>
                <w:rFonts w:hint="eastAsia" w:ascii="仿宋" w:hAnsi="仿宋" w:eastAsia="仿宋"/>
                <w:kern w:val="0"/>
                <w:sz w:val="30"/>
                <w:szCs w:val="30"/>
              </w:rPr>
              <w:t>尹成刚</w:t>
            </w:r>
          </w:p>
        </w:tc>
        <w:tc>
          <w:tcPr>
            <w:tcW w:w="8653" w:type="dxa"/>
            <w:shd w:val="clear" w:color="auto" w:fill="auto"/>
            <w:vAlign w:val="center"/>
          </w:tcPr>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kern w:val="0"/>
                <w:sz w:val="30"/>
                <w:szCs w:val="30"/>
              </w:rPr>
            </w:pPr>
            <w:r>
              <w:rPr>
                <w:rFonts w:hint="eastAsia" w:ascii="仿宋" w:hAnsi="仿宋" w:eastAsia="仿宋"/>
                <w:kern w:val="0"/>
                <w:sz w:val="30"/>
                <w:szCs w:val="30"/>
              </w:rPr>
              <w:t>1.9月23日，完成财务专项工作研讨会；</w:t>
            </w:r>
          </w:p>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kern w:val="0"/>
                <w:sz w:val="30"/>
                <w:szCs w:val="30"/>
              </w:rPr>
            </w:pPr>
            <w:r>
              <w:rPr>
                <w:rFonts w:hint="eastAsia" w:ascii="仿宋" w:hAnsi="仿宋" w:eastAsia="仿宋"/>
                <w:kern w:val="0"/>
                <w:sz w:val="30"/>
                <w:szCs w:val="30"/>
              </w:rPr>
              <w:t>2.9月，完成协会日常经费立项审批、报销单据审批、救助经费审批等各项审批工作。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olor w:val="000000"/>
                <w:kern w:val="0"/>
                <w:sz w:val="30"/>
                <w:szCs w:val="30"/>
              </w:rPr>
            </w:pPr>
            <w:r>
              <w:rPr>
                <w:rFonts w:hint="eastAsia" w:ascii="仿宋" w:hAnsi="仿宋" w:eastAsia="仿宋"/>
                <w:color w:val="000000"/>
                <w:kern w:val="0"/>
                <w:sz w:val="30"/>
                <w:szCs w:val="30"/>
              </w:rPr>
              <w:t>2</w:t>
            </w:r>
            <w:r>
              <w:rPr>
                <w:rFonts w:ascii="仿宋" w:hAnsi="仿宋" w:eastAsia="仿宋"/>
                <w:color w:val="000000"/>
                <w:kern w:val="0"/>
                <w:sz w:val="30"/>
                <w:szCs w:val="30"/>
              </w:rPr>
              <w:t>7</w:t>
            </w:r>
          </w:p>
        </w:tc>
        <w:tc>
          <w:tcPr>
            <w:tcW w:w="2947" w:type="dxa"/>
            <w:shd w:val="clear" w:color="auto" w:fill="auto"/>
            <w:vAlign w:val="center"/>
          </w:tcPr>
          <w:p>
            <w:pPr>
              <w:widowControl/>
              <w:spacing w:line="40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体育与健康</w:t>
            </w:r>
          </w:p>
          <w:p>
            <w:pPr>
              <w:widowControl/>
              <w:spacing w:line="400" w:lineRule="exact"/>
              <w:jc w:val="center"/>
              <w:rPr>
                <w:rFonts w:ascii="仿宋" w:hAnsi="仿宋" w:eastAsia="仿宋"/>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工作委员会</w:t>
            </w:r>
          </w:p>
        </w:tc>
        <w:tc>
          <w:tcPr>
            <w:tcW w:w="1418" w:type="dxa"/>
            <w:shd w:val="clear" w:color="auto" w:fill="auto"/>
            <w:vAlign w:val="center"/>
          </w:tcPr>
          <w:p>
            <w:pPr>
              <w:widowControl/>
              <w:spacing w:line="560" w:lineRule="exact"/>
              <w:jc w:val="center"/>
              <w:rPr>
                <w:rFonts w:ascii="仿宋" w:hAnsi="仿宋" w:eastAsia="仿宋"/>
                <w:color w:val="000000"/>
                <w:kern w:val="0"/>
                <w:sz w:val="30"/>
                <w:szCs w:val="30"/>
              </w:rPr>
            </w:pPr>
            <w:r>
              <w:rPr>
                <w:rFonts w:hint="eastAsia" w:ascii="仿宋" w:hAnsi="仿宋" w:eastAsia="仿宋"/>
                <w:color w:val="000000"/>
                <w:kern w:val="0"/>
                <w:sz w:val="30"/>
                <w:szCs w:val="30"/>
              </w:rPr>
              <w:t>傅立标</w:t>
            </w:r>
          </w:p>
        </w:tc>
        <w:tc>
          <w:tcPr>
            <w:tcW w:w="1559" w:type="dxa"/>
            <w:shd w:val="clear" w:color="auto" w:fill="auto"/>
            <w:vAlign w:val="center"/>
          </w:tcPr>
          <w:p>
            <w:pPr>
              <w:widowControl/>
              <w:spacing w:line="560" w:lineRule="exact"/>
              <w:jc w:val="center"/>
              <w:rPr>
                <w:rFonts w:ascii="仿宋" w:hAnsi="仿宋" w:eastAsia="仿宋"/>
                <w:color w:val="000000"/>
                <w:kern w:val="0"/>
                <w:sz w:val="30"/>
                <w:szCs w:val="30"/>
              </w:rPr>
            </w:pPr>
            <w:r>
              <w:rPr>
                <w:rFonts w:hint="eastAsia" w:ascii="仿宋" w:hAnsi="仿宋" w:eastAsia="仿宋"/>
                <w:color w:val="000000"/>
                <w:kern w:val="0"/>
                <w:sz w:val="30"/>
                <w:szCs w:val="30"/>
              </w:rPr>
              <w:t>汪腾锋</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w:t>
            </w:r>
            <w:r>
              <w:rPr>
                <w:rFonts w:hint="eastAsia" w:ascii="仿宋" w:hAnsi="仿宋" w:eastAsia="仿宋"/>
                <w:kern w:val="0"/>
                <w:sz w:val="30"/>
                <w:szCs w:val="30"/>
                <w:lang w:eastAsia="zh-CN"/>
              </w:rPr>
              <w:t>.</w:t>
            </w:r>
            <w:r>
              <w:rPr>
                <w:rFonts w:hint="eastAsia" w:ascii="仿宋" w:hAnsi="仿宋" w:eastAsia="仿宋"/>
                <w:kern w:val="0"/>
                <w:sz w:val="30"/>
                <w:szCs w:val="30"/>
              </w:rPr>
              <w:t>9月11日举行深圳律师乒乓球俱乐部举行甲C（女律师专场）比赛;</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w:t>
            </w:r>
            <w:r>
              <w:rPr>
                <w:rFonts w:hint="eastAsia" w:ascii="仿宋" w:hAnsi="仿宋" w:eastAsia="仿宋"/>
                <w:kern w:val="0"/>
                <w:sz w:val="30"/>
                <w:szCs w:val="30"/>
                <w:lang w:eastAsia="zh-CN"/>
              </w:rPr>
              <w:t>.</w:t>
            </w:r>
            <w:r>
              <w:rPr>
                <w:rFonts w:hint="eastAsia" w:ascii="仿宋" w:hAnsi="仿宋" w:eastAsia="仿宋"/>
                <w:kern w:val="0"/>
                <w:sz w:val="30"/>
                <w:szCs w:val="30"/>
              </w:rPr>
              <w:t>9月25日举行深圳律师乒乓球甲A比赛;</w:t>
            </w:r>
          </w:p>
          <w:p>
            <w:pPr>
              <w:keepNext w:val="0"/>
              <w:keepLines w:val="0"/>
              <w:pageBreakBefore w:val="0"/>
              <w:kinsoku/>
              <w:wordWrap/>
              <w:overflowPunct/>
              <w:topLinePunct w:val="0"/>
              <w:autoSpaceDE/>
              <w:autoSpaceDN/>
              <w:bidi w:val="0"/>
              <w:spacing w:line="560" w:lineRule="exact"/>
              <w:jc w:val="both"/>
              <w:textAlignment w:val="auto"/>
              <w:rPr>
                <w:rFonts w:ascii="仿宋" w:hAnsi="仿宋" w:eastAsia="仿宋"/>
                <w:kern w:val="0"/>
                <w:sz w:val="30"/>
                <w:szCs w:val="30"/>
              </w:rPr>
            </w:pPr>
            <w:r>
              <w:rPr>
                <w:rFonts w:hint="eastAsia" w:ascii="仿宋" w:hAnsi="仿宋" w:eastAsia="仿宋"/>
                <w:kern w:val="0"/>
                <w:sz w:val="30"/>
                <w:szCs w:val="30"/>
              </w:rPr>
              <w:t>3</w:t>
            </w:r>
            <w:r>
              <w:rPr>
                <w:rFonts w:hint="eastAsia" w:ascii="仿宋" w:hAnsi="仿宋" w:eastAsia="仿宋"/>
                <w:kern w:val="0"/>
                <w:sz w:val="30"/>
                <w:szCs w:val="30"/>
                <w:lang w:eastAsia="zh-CN"/>
              </w:rPr>
              <w:t>.</w:t>
            </w:r>
            <w:r>
              <w:rPr>
                <w:rFonts w:hint="eastAsia" w:ascii="仿宋" w:hAnsi="仿宋" w:eastAsia="仿宋"/>
                <w:kern w:val="0"/>
                <w:sz w:val="30"/>
                <w:szCs w:val="30"/>
              </w:rPr>
              <w:t>9月30日召开深圳律师乒乓球俱乐部第二届理事会。</w:t>
            </w:r>
          </w:p>
        </w:tc>
      </w:tr>
    </w:tbl>
    <w:p>
      <w:pPr>
        <w:adjustRightInd w:val="0"/>
        <w:snapToGrid w:val="0"/>
        <w:spacing w:line="600" w:lineRule="exact"/>
        <w:rPr>
          <w:rFonts w:hint="eastAsia" w:ascii="仿宋" w:hAnsi="仿宋" w:eastAsia="仿宋"/>
          <w:bCs/>
          <w:sz w:val="32"/>
          <w:szCs w:val="32"/>
          <w:lang w:eastAsia="zh-CN"/>
        </w:rPr>
      </w:pPr>
    </w:p>
    <w:sectPr>
      <w:footerReference r:id="rId3" w:type="default"/>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PAGE   \* MERGEFORMAT</w:instrText>
    </w:r>
    <w:r>
      <w:fldChar w:fldCharType="separate"/>
    </w:r>
    <w:r>
      <w:rPr>
        <w:lang w:val="zh-CN"/>
      </w:rPr>
      <w:t>6</w:t>
    </w:r>
    <w: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84F"/>
    <w:rsid w:val="000016BB"/>
    <w:rsid w:val="00001F7D"/>
    <w:rsid w:val="0000795B"/>
    <w:rsid w:val="000114F3"/>
    <w:rsid w:val="00012284"/>
    <w:rsid w:val="000122AD"/>
    <w:rsid w:val="00014C49"/>
    <w:rsid w:val="00023CE3"/>
    <w:rsid w:val="0003002A"/>
    <w:rsid w:val="00032AF4"/>
    <w:rsid w:val="0003308C"/>
    <w:rsid w:val="00033A95"/>
    <w:rsid w:val="00034328"/>
    <w:rsid w:val="00034A59"/>
    <w:rsid w:val="00036B57"/>
    <w:rsid w:val="0003702D"/>
    <w:rsid w:val="0004069D"/>
    <w:rsid w:val="0004087A"/>
    <w:rsid w:val="000501D5"/>
    <w:rsid w:val="00052C7A"/>
    <w:rsid w:val="00053952"/>
    <w:rsid w:val="000545C3"/>
    <w:rsid w:val="00057E01"/>
    <w:rsid w:val="000634C5"/>
    <w:rsid w:val="000666F0"/>
    <w:rsid w:val="0007224A"/>
    <w:rsid w:val="000734DE"/>
    <w:rsid w:val="0007378C"/>
    <w:rsid w:val="00074F1C"/>
    <w:rsid w:val="00075092"/>
    <w:rsid w:val="00075243"/>
    <w:rsid w:val="00075F38"/>
    <w:rsid w:val="00080120"/>
    <w:rsid w:val="000804A1"/>
    <w:rsid w:val="000805A9"/>
    <w:rsid w:val="00080E6A"/>
    <w:rsid w:val="00081107"/>
    <w:rsid w:val="00084A62"/>
    <w:rsid w:val="0008590A"/>
    <w:rsid w:val="000875B1"/>
    <w:rsid w:val="000904BD"/>
    <w:rsid w:val="0009517B"/>
    <w:rsid w:val="000A090D"/>
    <w:rsid w:val="000A138D"/>
    <w:rsid w:val="000A69B7"/>
    <w:rsid w:val="000A7488"/>
    <w:rsid w:val="000A7FFA"/>
    <w:rsid w:val="000B1014"/>
    <w:rsid w:val="000B4A40"/>
    <w:rsid w:val="000C1F03"/>
    <w:rsid w:val="000C4D69"/>
    <w:rsid w:val="000D1086"/>
    <w:rsid w:val="000D5462"/>
    <w:rsid w:val="000E0C5A"/>
    <w:rsid w:val="000E2E8E"/>
    <w:rsid w:val="000E38D0"/>
    <w:rsid w:val="000F0CD2"/>
    <w:rsid w:val="000F36C3"/>
    <w:rsid w:val="000F4579"/>
    <w:rsid w:val="000F7C56"/>
    <w:rsid w:val="00101F06"/>
    <w:rsid w:val="001027B7"/>
    <w:rsid w:val="001059D7"/>
    <w:rsid w:val="00112CEC"/>
    <w:rsid w:val="00113450"/>
    <w:rsid w:val="00117662"/>
    <w:rsid w:val="00117791"/>
    <w:rsid w:val="001202F0"/>
    <w:rsid w:val="001258C0"/>
    <w:rsid w:val="00126B2D"/>
    <w:rsid w:val="00126BDD"/>
    <w:rsid w:val="00132DC6"/>
    <w:rsid w:val="001333CB"/>
    <w:rsid w:val="00133B8B"/>
    <w:rsid w:val="00135A36"/>
    <w:rsid w:val="001369C6"/>
    <w:rsid w:val="00137904"/>
    <w:rsid w:val="00140FA6"/>
    <w:rsid w:val="00142899"/>
    <w:rsid w:val="00142C0A"/>
    <w:rsid w:val="001447F1"/>
    <w:rsid w:val="00144EFD"/>
    <w:rsid w:val="00147E18"/>
    <w:rsid w:val="00147F9C"/>
    <w:rsid w:val="00150A09"/>
    <w:rsid w:val="0015293F"/>
    <w:rsid w:val="00152D86"/>
    <w:rsid w:val="00160F22"/>
    <w:rsid w:val="00161B92"/>
    <w:rsid w:val="001642E0"/>
    <w:rsid w:val="00164FE5"/>
    <w:rsid w:val="00165FED"/>
    <w:rsid w:val="00171A43"/>
    <w:rsid w:val="00180E8A"/>
    <w:rsid w:val="001819BD"/>
    <w:rsid w:val="0018368A"/>
    <w:rsid w:val="001847EA"/>
    <w:rsid w:val="00185B9C"/>
    <w:rsid w:val="00190CAA"/>
    <w:rsid w:val="0019104A"/>
    <w:rsid w:val="00192D84"/>
    <w:rsid w:val="00196B68"/>
    <w:rsid w:val="001A1883"/>
    <w:rsid w:val="001A1886"/>
    <w:rsid w:val="001A18D4"/>
    <w:rsid w:val="001A78CE"/>
    <w:rsid w:val="001B5D7D"/>
    <w:rsid w:val="001B67BA"/>
    <w:rsid w:val="001B6EB7"/>
    <w:rsid w:val="001C3F23"/>
    <w:rsid w:val="001D0288"/>
    <w:rsid w:val="001D5A8C"/>
    <w:rsid w:val="001D5D1F"/>
    <w:rsid w:val="001D6CDC"/>
    <w:rsid w:val="001E0F77"/>
    <w:rsid w:val="001E1FD1"/>
    <w:rsid w:val="001F26D7"/>
    <w:rsid w:val="001F4891"/>
    <w:rsid w:val="001F6A6F"/>
    <w:rsid w:val="00207A5C"/>
    <w:rsid w:val="0021084F"/>
    <w:rsid w:val="002131C6"/>
    <w:rsid w:val="00222897"/>
    <w:rsid w:val="00222C42"/>
    <w:rsid w:val="002233F9"/>
    <w:rsid w:val="00224F63"/>
    <w:rsid w:val="00225314"/>
    <w:rsid w:val="002261A6"/>
    <w:rsid w:val="0022766E"/>
    <w:rsid w:val="0023024B"/>
    <w:rsid w:val="00230832"/>
    <w:rsid w:val="002361A0"/>
    <w:rsid w:val="0023770B"/>
    <w:rsid w:val="002404A2"/>
    <w:rsid w:val="002405DF"/>
    <w:rsid w:val="00244028"/>
    <w:rsid w:val="002502EE"/>
    <w:rsid w:val="00250E28"/>
    <w:rsid w:val="00251160"/>
    <w:rsid w:val="0025249B"/>
    <w:rsid w:val="0025266B"/>
    <w:rsid w:val="00253374"/>
    <w:rsid w:val="00255692"/>
    <w:rsid w:val="00256254"/>
    <w:rsid w:val="00256E71"/>
    <w:rsid w:val="002577F2"/>
    <w:rsid w:val="002600F7"/>
    <w:rsid w:val="002632F7"/>
    <w:rsid w:val="002668F3"/>
    <w:rsid w:val="00267416"/>
    <w:rsid w:val="002677FA"/>
    <w:rsid w:val="00271610"/>
    <w:rsid w:val="00271F52"/>
    <w:rsid w:val="00273B52"/>
    <w:rsid w:val="002809D5"/>
    <w:rsid w:val="00285851"/>
    <w:rsid w:val="00286769"/>
    <w:rsid w:val="00286DF0"/>
    <w:rsid w:val="00287D68"/>
    <w:rsid w:val="00290C8E"/>
    <w:rsid w:val="002910A4"/>
    <w:rsid w:val="00292A9A"/>
    <w:rsid w:val="002960A5"/>
    <w:rsid w:val="00296427"/>
    <w:rsid w:val="00296B5D"/>
    <w:rsid w:val="0029726B"/>
    <w:rsid w:val="002A0A5E"/>
    <w:rsid w:val="002A4D34"/>
    <w:rsid w:val="002A7E54"/>
    <w:rsid w:val="002B3064"/>
    <w:rsid w:val="002B46DB"/>
    <w:rsid w:val="002C6984"/>
    <w:rsid w:val="002C6ABF"/>
    <w:rsid w:val="002E321A"/>
    <w:rsid w:val="002E3353"/>
    <w:rsid w:val="002E3980"/>
    <w:rsid w:val="002E4D95"/>
    <w:rsid w:val="002E632D"/>
    <w:rsid w:val="002F2E6A"/>
    <w:rsid w:val="002F3BC9"/>
    <w:rsid w:val="002F4A47"/>
    <w:rsid w:val="0030173B"/>
    <w:rsid w:val="003022E8"/>
    <w:rsid w:val="00303365"/>
    <w:rsid w:val="00305CB7"/>
    <w:rsid w:val="00307AE4"/>
    <w:rsid w:val="003145BC"/>
    <w:rsid w:val="00315B9F"/>
    <w:rsid w:val="0032192E"/>
    <w:rsid w:val="0032689B"/>
    <w:rsid w:val="00330F76"/>
    <w:rsid w:val="00332C9C"/>
    <w:rsid w:val="00332DF1"/>
    <w:rsid w:val="00333800"/>
    <w:rsid w:val="0033660A"/>
    <w:rsid w:val="003375C3"/>
    <w:rsid w:val="00340ADD"/>
    <w:rsid w:val="00341D90"/>
    <w:rsid w:val="003437BC"/>
    <w:rsid w:val="003508EE"/>
    <w:rsid w:val="00362045"/>
    <w:rsid w:val="00362FAD"/>
    <w:rsid w:val="00370A77"/>
    <w:rsid w:val="00372719"/>
    <w:rsid w:val="0037385F"/>
    <w:rsid w:val="00374EF9"/>
    <w:rsid w:val="00374F27"/>
    <w:rsid w:val="00374FFC"/>
    <w:rsid w:val="00375C85"/>
    <w:rsid w:val="00376451"/>
    <w:rsid w:val="0037652F"/>
    <w:rsid w:val="003809E4"/>
    <w:rsid w:val="003858A8"/>
    <w:rsid w:val="00391837"/>
    <w:rsid w:val="00392C1E"/>
    <w:rsid w:val="00395E82"/>
    <w:rsid w:val="00397D5B"/>
    <w:rsid w:val="003A0182"/>
    <w:rsid w:val="003A27A5"/>
    <w:rsid w:val="003A3F39"/>
    <w:rsid w:val="003B13F1"/>
    <w:rsid w:val="003B19C1"/>
    <w:rsid w:val="003B24ED"/>
    <w:rsid w:val="003C10C2"/>
    <w:rsid w:val="003C378F"/>
    <w:rsid w:val="003C40A1"/>
    <w:rsid w:val="003C49C4"/>
    <w:rsid w:val="003D132A"/>
    <w:rsid w:val="003D5DF6"/>
    <w:rsid w:val="003E245C"/>
    <w:rsid w:val="003E3FA4"/>
    <w:rsid w:val="003E520A"/>
    <w:rsid w:val="003E5802"/>
    <w:rsid w:val="003E5FDD"/>
    <w:rsid w:val="003E78DA"/>
    <w:rsid w:val="003F1049"/>
    <w:rsid w:val="003F2F7E"/>
    <w:rsid w:val="003F5923"/>
    <w:rsid w:val="003F7458"/>
    <w:rsid w:val="003F7912"/>
    <w:rsid w:val="004000C2"/>
    <w:rsid w:val="00403E80"/>
    <w:rsid w:val="004102E7"/>
    <w:rsid w:val="00420DC9"/>
    <w:rsid w:val="0042100B"/>
    <w:rsid w:val="0042304A"/>
    <w:rsid w:val="0042411E"/>
    <w:rsid w:val="004241CA"/>
    <w:rsid w:val="00424BEA"/>
    <w:rsid w:val="00424DA6"/>
    <w:rsid w:val="00425514"/>
    <w:rsid w:val="00427923"/>
    <w:rsid w:val="00430E3E"/>
    <w:rsid w:val="004320DC"/>
    <w:rsid w:val="00433000"/>
    <w:rsid w:val="00433072"/>
    <w:rsid w:val="00435712"/>
    <w:rsid w:val="0043674F"/>
    <w:rsid w:val="004367E5"/>
    <w:rsid w:val="00440899"/>
    <w:rsid w:val="00440D12"/>
    <w:rsid w:val="00441125"/>
    <w:rsid w:val="00443BE7"/>
    <w:rsid w:val="004532A4"/>
    <w:rsid w:val="00454701"/>
    <w:rsid w:val="00455D33"/>
    <w:rsid w:val="00456B65"/>
    <w:rsid w:val="004609AC"/>
    <w:rsid w:val="00460F7F"/>
    <w:rsid w:val="00460FA5"/>
    <w:rsid w:val="0047097C"/>
    <w:rsid w:val="00474061"/>
    <w:rsid w:val="00475ED8"/>
    <w:rsid w:val="00475FEF"/>
    <w:rsid w:val="004774EB"/>
    <w:rsid w:val="00481232"/>
    <w:rsid w:val="00481445"/>
    <w:rsid w:val="00483F75"/>
    <w:rsid w:val="00484823"/>
    <w:rsid w:val="00484D11"/>
    <w:rsid w:val="00486415"/>
    <w:rsid w:val="004910B7"/>
    <w:rsid w:val="00494ED9"/>
    <w:rsid w:val="00495EB1"/>
    <w:rsid w:val="004A38A3"/>
    <w:rsid w:val="004A7B45"/>
    <w:rsid w:val="004A7EC1"/>
    <w:rsid w:val="004B40EE"/>
    <w:rsid w:val="004B44DD"/>
    <w:rsid w:val="004B4B2C"/>
    <w:rsid w:val="004B6D20"/>
    <w:rsid w:val="004B7C62"/>
    <w:rsid w:val="004C1127"/>
    <w:rsid w:val="004C5025"/>
    <w:rsid w:val="004C5543"/>
    <w:rsid w:val="004C5FAC"/>
    <w:rsid w:val="004C65D3"/>
    <w:rsid w:val="004D5794"/>
    <w:rsid w:val="004E39DB"/>
    <w:rsid w:val="004F0408"/>
    <w:rsid w:val="004F04DE"/>
    <w:rsid w:val="004F3828"/>
    <w:rsid w:val="004F46BC"/>
    <w:rsid w:val="004F7134"/>
    <w:rsid w:val="00501DD0"/>
    <w:rsid w:val="00503055"/>
    <w:rsid w:val="00504AF6"/>
    <w:rsid w:val="00506713"/>
    <w:rsid w:val="00515644"/>
    <w:rsid w:val="00516D35"/>
    <w:rsid w:val="00526113"/>
    <w:rsid w:val="00526C9C"/>
    <w:rsid w:val="00533619"/>
    <w:rsid w:val="00536F49"/>
    <w:rsid w:val="00543726"/>
    <w:rsid w:val="00543EB7"/>
    <w:rsid w:val="00546231"/>
    <w:rsid w:val="0054659E"/>
    <w:rsid w:val="00547568"/>
    <w:rsid w:val="0055140B"/>
    <w:rsid w:val="00551B2B"/>
    <w:rsid w:val="00552E41"/>
    <w:rsid w:val="00562084"/>
    <w:rsid w:val="00565E4A"/>
    <w:rsid w:val="005700C9"/>
    <w:rsid w:val="00570178"/>
    <w:rsid w:val="00570338"/>
    <w:rsid w:val="005756A5"/>
    <w:rsid w:val="00575DD9"/>
    <w:rsid w:val="00576306"/>
    <w:rsid w:val="00577F10"/>
    <w:rsid w:val="00581699"/>
    <w:rsid w:val="00582409"/>
    <w:rsid w:val="0058594E"/>
    <w:rsid w:val="005861EC"/>
    <w:rsid w:val="005873E6"/>
    <w:rsid w:val="00595AFA"/>
    <w:rsid w:val="00595F0F"/>
    <w:rsid w:val="005960BA"/>
    <w:rsid w:val="00597717"/>
    <w:rsid w:val="005A1AD1"/>
    <w:rsid w:val="005A697E"/>
    <w:rsid w:val="005A6C28"/>
    <w:rsid w:val="005B1194"/>
    <w:rsid w:val="005B17C7"/>
    <w:rsid w:val="005B49F5"/>
    <w:rsid w:val="005C0AC5"/>
    <w:rsid w:val="005C4E9B"/>
    <w:rsid w:val="005C7181"/>
    <w:rsid w:val="005D1393"/>
    <w:rsid w:val="005D408C"/>
    <w:rsid w:val="005E0FAB"/>
    <w:rsid w:val="005E26DB"/>
    <w:rsid w:val="005E4F9A"/>
    <w:rsid w:val="005E4FAE"/>
    <w:rsid w:val="005E5055"/>
    <w:rsid w:val="005E7FB6"/>
    <w:rsid w:val="005F460C"/>
    <w:rsid w:val="005F53F8"/>
    <w:rsid w:val="005F6668"/>
    <w:rsid w:val="006078FE"/>
    <w:rsid w:val="006113E4"/>
    <w:rsid w:val="0061489B"/>
    <w:rsid w:val="0061529C"/>
    <w:rsid w:val="006210AD"/>
    <w:rsid w:val="00621CB1"/>
    <w:rsid w:val="0062540B"/>
    <w:rsid w:val="00626585"/>
    <w:rsid w:val="0064297A"/>
    <w:rsid w:val="006563D2"/>
    <w:rsid w:val="00656C0F"/>
    <w:rsid w:val="00661796"/>
    <w:rsid w:val="00663233"/>
    <w:rsid w:val="00664EEC"/>
    <w:rsid w:val="00671345"/>
    <w:rsid w:val="006719EC"/>
    <w:rsid w:val="00672F73"/>
    <w:rsid w:val="0068209D"/>
    <w:rsid w:val="00682D3A"/>
    <w:rsid w:val="00682E4A"/>
    <w:rsid w:val="00693314"/>
    <w:rsid w:val="00697E67"/>
    <w:rsid w:val="006A0584"/>
    <w:rsid w:val="006A07B6"/>
    <w:rsid w:val="006A24FC"/>
    <w:rsid w:val="006A5E8A"/>
    <w:rsid w:val="006A720C"/>
    <w:rsid w:val="006A7757"/>
    <w:rsid w:val="006A7D65"/>
    <w:rsid w:val="006B2C62"/>
    <w:rsid w:val="006B39A0"/>
    <w:rsid w:val="006C0C94"/>
    <w:rsid w:val="006C1B08"/>
    <w:rsid w:val="006C1C1A"/>
    <w:rsid w:val="006C58C6"/>
    <w:rsid w:val="006C59BC"/>
    <w:rsid w:val="006C610A"/>
    <w:rsid w:val="006C78FE"/>
    <w:rsid w:val="006D1CDB"/>
    <w:rsid w:val="006D2215"/>
    <w:rsid w:val="006D39EB"/>
    <w:rsid w:val="006D4BC7"/>
    <w:rsid w:val="006D5755"/>
    <w:rsid w:val="006E20AB"/>
    <w:rsid w:val="006E7677"/>
    <w:rsid w:val="006F1073"/>
    <w:rsid w:val="006F53D8"/>
    <w:rsid w:val="00701DF7"/>
    <w:rsid w:val="0070572B"/>
    <w:rsid w:val="00706105"/>
    <w:rsid w:val="007068F4"/>
    <w:rsid w:val="007108CF"/>
    <w:rsid w:val="00714464"/>
    <w:rsid w:val="00715111"/>
    <w:rsid w:val="00721F52"/>
    <w:rsid w:val="007231B0"/>
    <w:rsid w:val="0072599E"/>
    <w:rsid w:val="00733769"/>
    <w:rsid w:val="00736A68"/>
    <w:rsid w:val="0073766A"/>
    <w:rsid w:val="00740616"/>
    <w:rsid w:val="0074376A"/>
    <w:rsid w:val="00747FE8"/>
    <w:rsid w:val="0075222C"/>
    <w:rsid w:val="00753FAC"/>
    <w:rsid w:val="007544C5"/>
    <w:rsid w:val="00761A69"/>
    <w:rsid w:val="0076344F"/>
    <w:rsid w:val="007638E5"/>
    <w:rsid w:val="00763D27"/>
    <w:rsid w:val="00767B8B"/>
    <w:rsid w:val="00770576"/>
    <w:rsid w:val="0077086B"/>
    <w:rsid w:val="0077599C"/>
    <w:rsid w:val="00775E9A"/>
    <w:rsid w:val="00782769"/>
    <w:rsid w:val="00782C43"/>
    <w:rsid w:val="0078358D"/>
    <w:rsid w:val="00783D0D"/>
    <w:rsid w:val="00784E67"/>
    <w:rsid w:val="00785C6E"/>
    <w:rsid w:val="00792112"/>
    <w:rsid w:val="00792F21"/>
    <w:rsid w:val="007A3DCC"/>
    <w:rsid w:val="007A41AF"/>
    <w:rsid w:val="007A5415"/>
    <w:rsid w:val="007A54CA"/>
    <w:rsid w:val="007C12A0"/>
    <w:rsid w:val="007C2CB0"/>
    <w:rsid w:val="007C32DB"/>
    <w:rsid w:val="007C32F8"/>
    <w:rsid w:val="007C36B3"/>
    <w:rsid w:val="007C7C4A"/>
    <w:rsid w:val="007D0CA1"/>
    <w:rsid w:val="007D230B"/>
    <w:rsid w:val="007D2534"/>
    <w:rsid w:val="007D698C"/>
    <w:rsid w:val="007E155F"/>
    <w:rsid w:val="007E1C13"/>
    <w:rsid w:val="007E4D4C"/>
    <w:rsid w:val="007F3D49"/>
    <w:rsid w:val="00801E71"/>
    <w:rsid w:val="008063FD"/>
    <w:rsid w:val="00810552"/>
    <w:rsid w:val="008124D2"/>
    <w:rsid w:val="0081298B"/>
    <w:rsid w:val="00812AB3"/>
    <w:rsid w:val="0081351C"/>
    <w:rsid w:val="00814874"/>
    <w:rsid w:val="00814E40"/>
    <w:rsid w:val="00821F0B"/>
    <w:rsid w:val="0082225B"/>
    <w:rsid w:val="00823222"/>
    <w:rsid w:val="00831A2D"/>
    <w:rsid w:val="008331BF"/>
    <w:rsid w:val="0083751A"/>
    <w:rsid w:val="00840C07"/>
    <w:rsid w:val="00841A9F"/>
    <w:rsid w:val="0084552A"/>
    <w:rsid w:val="00845775"/>
    <w:rsid w:val="00846175"/>
    <w:rsid w:val="00850543"/>
    <w:rsid w:val="00857D7B"/>
    <w:rsid w:val="00862174"/>
    <w:rsid w:val="008710D9"/>
    <w:rsid w:val="00874811"/>
    <w:rsid w:val="00883EAB"/>
    <w:rsid w:val="00883FAB"/>
    <w:rsid w:val="00890AC0"/>
    <w:rsid w:val="00891D80"/>
    <w:rsid w:val="00893602"/>
    <w:rsid w:val="00893664"/>
    <w:rsid w:val="008937CC"/>
    <w:rsid w:val="0089585F"/>
    <w:rsid w:val="0089610B"/>
    <w:rsid w:val="008976DF"/>
    <w:rsid w:val="008978B8"/>
    <w:rsid w:val="00897B62"/>
    <w:rsid w:val="00897BA1"/>
    <w:rsid w:val="008A267C"/>
    <w:rsid w:val="008A2FFF"/>
    <w:rsid w:val="008A61BD"/>
    <w:rsid w:val="008B435F"/>
    <w:rsid w:val="008B6A90"/>
    <w:rsid w:val="008C1103"/>
    <w:rsid w:val="008C1BB8"/>
    <w:rsid w:val="008C3718"/>
    <w:rsid w:val="008C4B37"/>
    <w:rsid w:val="008D5B76"/>
    <w:rsid w:val="008E1E67"/>
    <w:rsid w:val="008E313E"/>
    <w:rsid w:val="008E5B2D"/>
    <w:rsid w:val="008E692E"/>
    <w:rsid w:val="008F0573"/>
    <w:rsid w:val="008F27B7"/>
    <w:rsid w:val="008F28A7"/>
    <w:rsid w:val="008F34CA"/>
    <w:rsid w:val="008F46BF"/>
    <w:rsid w:val="00901035"/>
    <w:rsid w:val="00902271"/>
    <w:rsid w:val="00911482"/>
    <w:rsid w:val="00912091"/>
    <w:rsid w:val="00912568"/>
    <w:rsid w:val="0091711E"/>
    <w:rsid w:val="00920497"/>
    <w:rsid w:val="00920D3E"/>
    <w:rsid w:val="009226ED"/>
    <w:rsid w:val="00923608"/>
    <w:rsid w:val="009244CD"/>
    <w:rsid w:val="00926E0F"/>
    <w:rsid w:val="009274FB"/>
    <w:rsid w:val="009328E7"/>
    <w:rsid w:val="00935651"/>
    <w:rsid w:val="00936175"/>
    <w:rsid w:val="009401F0"/>
    <w:rsid w:val="009426EC"/>
    <w:rsid w:val="00944094"/>
    <w:rsid w:val="009478E8"/>
    <w:rsid w:val="00953DA3"/>
    <w:rsid w:val="00954154"/>
    <w:rsid w:val="00956945"/>
    <w:rsid w:val="00962B35"/>
    <w:rsid w:val="00963148"/>
    <w:rsid w:val="00965CF0"/>
    <w:rsid w:val="00970D87"/>
    <w:rsid w:val="0097367F"/>
    <w:rsid w:val="00975768"/>
    <w:rsid w:val="0097597B"/>
    <w:rsid w:val="0097735B"/>
    <w:rsid w:val="009878DF"/>
    <w:rsid w:val="00994E1F"/>
    <w:rsid w:val="009978B8"/>
    <w:rsid w:val="009A09D9"/>
    <w:rsid w:val="009A1775"/>
    <w:rsid w:val="009A2DF2"/>
    <w:rsid w:val="009B0C36"/>
    <w:rsid w:val="009B0DB3"/>
    <w:rsid w:val="009B24AE"/>
    <w:rsid w:val="009B42E7"/>
    <w:rsid w:val="009B6397"/>
    <w:rsid w:val="009B6581"/>
    <w:rsid w:val="009B76AA"/>
    <w:rsid w:val="009C3EE8"/>
    <w:rsid w:val="009C403B"/>
    <w:rsid w:val="009C748B"/>
    <w:rsid w:val="009D6510"/>
    <w:rsid w:val="009D7B56"/>
    <w:rsid w:val="009E10CA"/>
    <w:rsid w:val="009E2DCC"/>
    <w:rsid w:val="009E4289"/>
    <w:rsid w:val="009E51C2"/>
    <w:rsid w:val="009F3E73"/>
    <w:rsid w:val="009F527B"/>
    <w:rsid w:val="009F5E8C"/>
    <w:rsid w:val="00A0169F"/>
    <w:rsid w:val="00A0329D"/>
    <w:rsid w:val="00A06724"/>
    <w:rsid w:val="00A134F9"/>
    <w:rsid w:val="00A15106"/>
    <w:rsid w:val="00A16CBB"/>
    <w:rsid w:val="00A17520"/>
    <w:rsid w:val="00A20BA6"/>
    <w:rsid w:val="00A231B0"/>
    <w:rsid w:val="00A24EE6"/>
    <w:rsid w:val="00A24EEE"/>
    <w:rsid w:val="00A270E1"/>
    <w:rsid w:val="00A279AA"/>
    <w:rsid w:val="00A311B9"/>
    <w:rsid w:val="00A32771"/>
    <w:rsid w:val="00A456F4"/>
    <w:rsid w:val="00A47FF7"/>
    <w:rsid w:val="00A50E75"/>
    <w:rsid w:val="00A54031"/>
    <w:rsid w:val="00A54B78"/>
    <w:rsid w:val="00A5509C"/>
    <w:rsid w:val="00A56C96"/>
    <w:rsid w:val="00A57A34"/>
    <w:rsid w:val="00A65B36"/>
    <w:rsid w:val="00A65DC7"/>
    <w:rsid w:val="00A732B6"/>
    <w:rsid w:val="00A73CEC"/>
    <w:rsid w:val="00A777B9"/>
    <w:rsid w:val="00A80497"/>
    <w:rsid w:val="00A80F9B"/>
    <w:rsid w:val="00A8292E"/>
    <w:rsid w:val="00A83584"/>
    <w:rsid w:val="00A84AAB"/>
    <w:rsid w:val="00A86CE3"/>
    <w:rsid w:val="00A87E56"/>
    <w:rsid w:val="00A9067A"/>
    <w:rsid w:val="00A954A4"/>
    <w:rsid w:val="00A96810"/>
    <w:rsid w:val="00A96BB1"/>
    <w:rsid w:val="00AA5C2E"/>
    <w:rsid w:val="00AB5694"/>
    <w:rsid w:val="00AB623F"/>
    <w:rsid w:val="00AB63BA"/>
    <w:rsid w:val="00AB6A1E"/>
    <w:rsid w:val="00AC0C38"/>
    <w:rsid w:val="00AC4929"/>
    <w:rsid w:val="00AC49A6"/>
    <w:rsid w:val="00AC543D"/>
    <w:rsid w:val="00AC58AF"/>
    <w:rsid w:val="00AD1AEF"/>
    <w:rsid w:val="00AD256A"/>
    <w:rsid w:val="00AD353E"/>
    <w:rsid w:val="00AD3DF7"/>
    <w:rsid w:val="00AE087E"/>
    <w:rsid w:val="00AE0AEA"/>
    <w:rsid w:val="00AE2327"/>
    <w:rsid w:val="00AE3511"/>
    <w:rsid w:val="00AE64D1"/>
    <w:rsid w:val="00AE6DC5"/>
    <w:rsid w:val="00AF770E"/>
    <w:rsid w:val="00B05191"/>
    <w:rsid w:val="00B06A03"/>
    <w:rsid w:val="00B107F4"/>
    <w:rsid w:val="00B1111E"/>
    <w:rsid w:val="00B11803"/>
    <w:rsid w:val="00B11C5A"/>
    <w:rsid w:val="00B1339E"/>
    <w:rsid w:val="00B157BC"/>
    <w:rsid w:val="00B15880"/>
    <w:rsid w:val="00B20D92"/>
    <w:rsid w:val="00B21185"/>
    <w:rsid w:val="00B21C04"/>
    <w:rsid w:val="00B21FC5"/>
    <w:rsid w:val="00B24688"/>
    <w:rsid w:val="00B27A0C"/>
    <w:rsid w:val="00B3148E"/>
    <w:rsid w:val="00B33360"/>
    <w:rsid w:val="00B363B7"/>
    <w:rsid w:val="00B410D4"/>
    <w:rsid w:val="00B4131C"/>
    <w:rsid w:val="00B47957"/>
    <w:rsid w:val="00B53834"/>
    <w:rsid w:val="00B5480D"/>
    <w:rsid w:val="00B5727D"/>
    <w:rsid w:val="00B62585"/>
    <w:rsid w:val="00B6462C"/>
    <w:rsid w:val="00B64679"/>
    <w:rsid w:val="00B64F77"/>
    <w:rsid w:val="00B663B6"/>
    <w:rsid w:val="00B705B9"/>
    <w:rsid w:val="00B7068B"/>
    <w:rsid w:val="00B70803"/>
    <w:rsid w:val="00B74265"/>
    <w:rsid w:val="00B82E71"/>
    <w:rsid w:val="00B85CA6"/>
    <w:rsid w:val="00B904FE"/>
    <w:rsid w:val="00B91DA1"/>
    <w:rsid w:val="00B92A6B"/>
    <w:rsid w:val="00B92BE4"/>
    <w:rsid w:val="00B9379E"/>
    <w:rsid w:val="00B94B5E"/>
    <w:rsid w:val="00B9786F"/>
    <w:rsid w:val="00BA260A"/>
    <w:rsid w:val="00BA7070"/>
    <w:rsid w:val="00BA70F6"/>
    <w:rsid w:val="00BB0BFC"/>
    <w:rsid w:val="00BB1D47"/>
    <w:rsid w:val="00BB1FA7"/>
    <w:rsid w:val="00BB7FF2"/>
    <w:rsid w:val="00BC0D6C"/>
    <w:rsid w:val="00BC2771"/>
    <w:rsid w:val="00BC2E43"/>
    <w:rsid w:val="00BC372C"/>
    <w:rsid w:val="00BC7BCD"/>
    <w:rsid w:val="00BD55A2"/>
    <w:rsid w:val="00BE301F"/>
    <w:rsid w:val="00BE7D3E"/>
    <w:rsid w:val="00BF3ED8"/>
    <w:rsid w:val="00C02124"/>
    <w:rsid w:val="00C02DF5"/>
    <w:rsid w:val="00C152F8"/>
    <w:rsid w:val="00C1733B"/>
    <w:rsid w:val="00C2235A"/>
    <w:rsid w:val="00C237CF"/>
    <w:rsid w:val="00C23ADA"/>
    <w:rsid w:val="00C24715"/>
    <w:rsid w:val="00C24BBF"/>
    <w:rsid w:val="00C25FC4"/>
    <w:rsid w:val="00C272C5"/>
    <w:rsid w:val="00C357EF"/>
    <w:rsid w:val="00C35DFF"/>
    <w:rsid w:val="00C36097"/>
    <w:rsid w:val="00C459AF"/>
    <w:rsid w:val="00C45D53"/>
    <w:rsid w:val="00C520FF"/>
    <w:rsid w:val="00C53D20"/>
    <w:rsid w:val="00C5747C"/>
    <w:rsid w:val="00C62041"/>
    <w:rsid w:val="00C64D03"/>
    <w:rsid w:val="00C66A43"/>
    <w:rsid w:val="00C70D1D"/>
    <w:rsid w:val="00C71B48"/>
    <w:rsid w:val="00C72879"/>
    <w:rsid w:val="00C72FE3"/>
    <w:rsid w:val="00C74A88"/>
    <w:rsid w:val="00C74CAE"/>
    <w:rsid w:val="00C77490"/>
    <w:rsid w:val="00C77C14"/>
    <w:rsid w:val="00C80D00"/>
    <w:rsid w:val="00C83912"/>
    <w:rsid w:val="00C843AA"/>
    <w:rsid w:val="00C85B5A"/>
    <w:rsid w:val="00C86065"/>
    <w:rsid w:val="00C9181E"/>
    <w:rsid w:val="00C92427"/>
    <w:rsid w:val="00CA0280"/>
    <w:rsid w:val="00CA40E8"/>
    <w:rsid w:val="00CA4424"/>
    <w:rsid w:val="00CA4EDA"/>
    <w:rsid w:val="00CA528B"/>
    <w:rsid w:val="00CA7F54"/>
    <w:rsid w:val="00CB159C"/>
    <w:rsid w:val="00CB2037"/>
    <w:rsid w:val="00CB3AD9"/>
    <w:rsid w:val="00CB464D"/>
    <w:rsid w:val="00CB6DBD"/>
    <w:rsid w:val="00CC55A4"/>
    <w:rsid w:val="00CD16F0"/>
    <w:rsid w:val="00CD2A62"/>
    <w:rsid w:val="00CD52AA"/>
    <w:rsid w:val="00CD7F52"/>
    <w:rsid w:val="00CE1665"/>
    <w:rsid w:val="00CE28DB"/>
    <w:rsid w:val="00CE434E"/>
    <w:rsid w:val="00CF6ED7"/>
    <w:rsid w:val="00D0080F"/>
    <w:rsid w:val="00D122E1"/>
    <w:rsid w:val="00D12696"/>
    <w:rsid w:val="00D12C23"/>
    <w:rsid w:val="00D12ECB"/>
    <w:rsid w:val="00D15AB9"/>
    <w:rsid w:val="00D17D84"/>
    <w:rsid w:val="00D228F8"/>
    <w:rsid w:val="00D22B18"/>
    <w:rsid w:val="00D23426"/>
    <w:rsid w:val="00D2594E"/>
    <w:rsid w:val="00D31688"/>
    <w:rsid w:val="00D32601"/>
    <w:rsid w:val="00D34287"/>
    <w:rsid w:val="00D34F41"/>
    <w:rsid w:val="00D3768A"/>
    <w:rsid w:val="00D4168A"/>
    <w:rsid w:val="00D42513"/>
    <w:rsid w:val="00D4320F"/>
    <w:rsid w:val="00D45562"/>
    <w:rsid w:val="00D45580"/>
    <w:rsid w:val="00D501AF"/>
    <w:rsid w:val="00D51F6C"/>
    <w:rsid w:val="00D53175"/>
    <w:rsid w:val="00D542DC"/>
    <w:rsid w:val="00D5541D"/>
    <w:rsid w:val="00D5548C"/>
    <w:rsid w:val="00D559CD"/>
    <w:rsid w:val="00D63A22"/>
    <w:rsid w:val="00D6604D"/>
    <w:rsid w:val="00D665EF"/>
    <w:rsid w:val="00D703A2"/>
    <w:rsid w:val="00D710D3"/>
    <w:rsid w:val="00D82338"/>
    <w:rsid w:val="00D82C47"/>
    <w:rsid w:val="00D941A3"/>
    <w:rsid w:val="00D941EC"/>
    <w:rsid w:val="00D96D97"/>
    <w:rsid w:val="00DA1AD1"/>
    <w:rsid w:val="00DA1B03"/>
    <w:rsid w:val="00DA1C54"/>
    <w:rsid w:val="00DB0851"/>
    <w:rsid w:val="00DB0883"/>
    <w:rsid w:val="00DC066E"/>
    <w:rsid w:val="00DC1F7B"/>
    <w:rsid w:val="00DC4B82"/>
    <w:rsid w:val="00DC5152"/>
    <w:rsid w:val="00DC6DAE"/>
    <w:rsid w:val="00DC7C17"/>
    <w:rsid w:val="00DC7FA6"/>
    <w:rsid w:val="00DD0081"/>
    <w:rsid w:val="00DD1764"/>
    <w:rsid w:val="00DD3289"/>
    <w:rsid w:val="00DD39CA"/>
    <w:rsid w:val="00DD3BFC"/>
    <w:rsid w:val="00DD5B3A"/>
    <w:rsid w:val="00DE2E89"/>
    <w:rsid w:val="00DE50D1"/>
    <w:rsid w:val="00DF1AA4"/>
    <w:rsid w:val="00DF2D93"/>
    <w:rsid w:val="00E0328D"/>
    <w:rsid w:val="00E05730"/>
    <w:rsid w:val="00E05E9C"/>
    <w:rsid w:val="00E068F7"/>
    <w:rsid w:val="00E069D0"/>
    <w:rsid w:val="00E06C27"/>
    <w:rsid w:val="00E22E6F"/>
    <w:rsid w:val="00E2462B"/>
    <w:rsid w:val="00E251BA"/>
    <w:rsid w:val="00E2683E"/>
    <w:rsid w:val="00E3156E"/>
    <w:rsid w:val="00E33ABB"/>
    <w:rsid w:val="00E34C7E"/>
    <w:rsid w:val="00E3625E"/>
    <w:rsid w:val="00E41D56"/>
    <w:rsid w:val="00E44618"/>
    <w:rsid w:val="00E44742"/>
    <w:rsid w:val="00E528F5"/>
    <w:rsid w:val="00E54E6D"/>
    <w:rsid w:val="00E61986"/>
    <w:rsid w:val="00E6235D"/>
    <w:rsid w:val="00E64384"/>
    <w:rsid w:val="00E6556E"/>
    <w:rsid w:val="00E66921"/>
    <w:rsid w:val="00E82F48"/>
    <w:rsid w:val="00E85672"/>
    <w:rsid w:val="00E86037"/>
    <w:rsid w:val="00E90C59"/>
    <w:rsid w:val="00E90C8A"/>
    <w:rsid w:val="00E90FBE"/>
    <w:rsid w:val="00E9366E"/>
    <w:rsid w:val="00E96856"/>
    <w:rsid w:val="00E96BFE"/>
    <w:rsid w:val="00EA5899"/>
    <w:rsid w:val="00EA5A09"/>
    <w:rsid w:val="00EB0F1C"/>
    <w:rsid w:val="00EB4244"/>
    <w:rsid w:val="00EB4B9E"/>
    <w:rsid w:val="00EB4D17"/>
    <w:rsid w:val="00EC384C"/>
    <w:rsid w:val="00EC6DD8"/>
    <w:rsid w:val="00ED0FBC"/>
    <w:rsid w:val="00ED1A41"/>
    <w:rsid w:val="00ED4E35"/>
    <w:rsid w:val="00ED6E2D"/>
    <w:rsid w:val="00EE372A"/>
    <w:rsid w:val="00EE37B5"/>
    <w:rsid w:val="00EE6BFE"/>
    <w:rsid w:val="00EE6E10"/>
    <w:rsid w:val="00EF6C06"/>
    <w:rsid w:val="00EF7ABC"/>
    <w:rsid w:val="00EF7ADB"/>
    <w:rsid w:val="00F060E7"/>
    <w:rsid w:val="00F06B32"/>
    <w:rsid w:val="00F07317"/>
    <w:rsid w:val="00F073C3"/>
    <w:rsid w:val="00F07C44"/>
    <w:rsid w:val="00F1011D"/>
    <w:rsid w:val="00F131D7"/>
    <w:rsid w:val="00F14816"/>
    <w:rsid w:val="00F14C6D"/>
    <w:rsid w:val="00F2228E"/>
    <w:rsid w:val="00F245B2"/>
    <w:rsid w:val="00F25122"/>
    <w:rsid w:val="00F25CD9"/>
    <w:rsid w:val="00F273E9"/>
    <w:rsid w:val="00F34722"/>
    <w:rsid w:val="00F34D97"/>
    <w:rsid w:val="00F36229"/>
    <w:rsid w:val="00F373E6"/>
    <w:rsid w:val="00F43D6F"/>
    <w:rsid w:val="00F449BC"/>
    <w:rsid w:val="00F47D0C"/>
    <w:rsid w:val="00F54917"/>
    <w:rsid w:val="00F553E8"/>
    <w:rsid w:val="00F60D41"/>
    <w:rsid w:val="00F630D0"/>
    <w:rsid w:val="00F6406F"/>
    <w:rsid w:val="00F66597"/>
    <w:rsid w:val="00F71A78"/>
    <w:rsid w:val="00F754FC"/>
    <w:rsid w:val="00F7697B"/>
    <w:rsid w:val="00F76D4B"/>
    <w:rsid w:val="00F80835"/>
    <w:rsid w:val="00F81679"/>
    <w:rsid w:val="00F86FA3"/>
    <w:rsid w:val="00F871A7"/>
    <w:rsid w:val="00F904EA"/>
    <w:rsid w:val="00F95397"/>
    <w:rsid w:val="00FA21F8"/>
    <w:rsid w:val="00FA666F"/>
    <w:rsid w:val="00FA6F5F"/>
    <w:rsid w:val="00FA7707"/>
    <w:rsid w:val="00FC0DEB"/>
    <w:rsid w:val="00FC1D34"/>
    <w:rsid w:val="00FC2DC7"/>
    <w:rsid w:val="00FC3492"/>
    <w:rsid w:val="00FC40C6"/>
    <w:rsid w:val="00FC469D"/>
    <w:rsid w:val="00FC4F63"/>
    <w:rsid w:val="00FD05A8"/>
    <w:rsid w:val="00FD2AD1"/>
    <w:rsid w:val="00FD386D"/>
    <w:rsid w:val="00FD4F86"/>
    <w:rsid w:val="00FD6C76"/>
    <w:rsid w:val="00FE4EF1"/>
    <w:rsid w:val="00FE4FBC"/>
    <w:rsid w:val="00FE60D1"/>
    <w:rsid w:val="00FF1C8F"/>
    <w:rsid w:val="00FF4866"/>
    <w:rsid w:val="00FF61ED"/>
    <w:rsid w:val="03277C08"/>
    <w:rsid w:val="03A8261F"/>
    <w:rsid w:val="03FB37B2"/>
    <w:rsid w:val="0B530777"/>
    <w:rsid w:val="0C993AE8"/>
    <w:rsid w:val="0E9A619E"/>
    <w:rsid w:val="10625046"/>
    <w:rsid w:val="130F234A"/>
    <w:rsid w:val="15491B0B"/>
    <w:rsid w:val="1D5F5F9F"/>
    <w:rsid w:val="208541C1"/>
    <w:rsid w:val="212E613B"/>
    <w:rsid w:val="22ED071D"/>
    <w:rsid w:val="2BFF1DD2"/>
    <w:rsid w:val="2C7846C1"/>
    <w:rsid w:val="30B46C7B"/>
    <w:rsid w:val="319A450E"/>
    <w:rsid w:val="33EE3A3F"/>
    <w:rsid w:val="39421837"/>
    <w:rsid w:val="39557E79"/>
    <w:rsid w:val="3AA80CB0"/>
    <w:rsid w:val="3D3A335D"/>
    <w:rsid w:val="3D43204F"/>
    <w:rsid w:val="3E6E35B6"/>
    <w:rsid w:val="41FE1272"/>
    <w:rsid w:val="43CC3E08"/>
    <w:rsid w:val="449A343D"/>
    <w:rsid w:val="45332E25"/>
    <w:rsid w:val="45932AE6"/>
    <w:rsid w:val="48411C4E"/>
    <w:rsid w:val="4875577F"/>
    <w:rsid w:val="48AE2410"/>
    <w:rsid w:val="49906D8D"/>
    <w:rsid w:val="4A495C8B"/>
    <w:rsid w:val="51610715"/>
    <w:rsid w:val="51FD4003"/>
    <w:rsid w:val="56CC17F5"/>
    <w:rsid w:val="570A4F08"/>
    <w:rsid w:val="574606A0"/>
    <w:rsid w:val="58136FB6"/>
    <w:rsid w:val="5A003F8C"/>
    <w:rsid w:val="5BAE0230"/>
    <w:rsid w:val="5D514354"/>
    <w:rsid w:val="5E262A78"/>
    <w:rsid w:val="601D7440"/>
    <w:rsid w:val="62F702C1"/>
    <w:rsid w:val="64AD55B4"/>
    <w:rsid w:val="6E5F3047"/>
    <w:rsid w:val="72A416C1"/>
    <w:rsid w:val="753F54EE"/>
    <w:rsid w:val="767E028C"/>
    <w:rsid w:val="76DA3B24"/>
    <w:rsid w:val="775B356C"/>
    <w:rsid w:val="7973519A"/>
    <w:rsid w:val="7C405F9D"/>
    <w:rsid w:val="7D4451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宋体"/>
      <w:kern w:val="2"/>
      <w:sz w:val="21"/>
      <w:szCs w:val="22"/>
      <w:lang w:val="en-US" w:eastAsia="zh-CN" w:bidi="ar-SA"/>
    </w:rPr>
  </w:style>
  <w:style w:type="paragraph" w:styleId="4">
    <w:name w:val="heading 1"/>
    <w:basedOn w:val="1"/>
    <w:next w:val="1"/>
    <w:link w:val="16"/>
    <w:qFormat/>
    <w:uiPriority w:val="9"/>
    <w:pPr>
      <w:spacing w:beforeAutospacing="1" w:afterAutospacing="1"/>
      <w:jc w:val="left"/>
      <w:outlineLvl w:val="0"/>
    </w:pPr>
    <w:rPr>
      <w:rFonts w:hint="eastAsia" w:ascii="宋体" w:hAnsi="宋体" w:eastAsia="宋体" w:cs="Times New Roman"/>
      <w:b/>
      <w:kern w:val="44"/>
      <w:sz w:val="48"/>
      <w:szCs w:val="48"/>
    </w:rPr>
  </w:style>
  <w:style w:type="paragraph" w:styleId="5">
    <w:name w:val="heading 2"/>
    <w:basedOn w:val="1"/>
    <w:next w:val="1"/>
    <w:link w:val="18"/>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widowControl/>
      <w:spacing w:line="560" w:lineRule="exact"/>
      <w:ind w:firstLine="200" w:firstLineChars="200"/>
    </w:pPr>
    <w:rPr>
      <w:rFonts w:ascii="Times New Roman" w:cs="Times New Roman"/>
      <w:sz w:val="28"/>
      <w:szCs w:val="28"/>
    </w:rPr>
  </w:style>
  <w:style w:type="paragraph" w:styleId="3">
    <w:name w:val="Body Text Indent"/>
    <w:basedOn w:val="1"/>
    <w:qFormat/>
    <w:uiPriority w:val="0"/>
    <w:pPr>
      <w:ind w:firstLine="636" w:firstLineChars="198"/>
    </w:pPr>
    <w:rPr>
      <w:rFonts w:ascii="仿宋_GB2312" w:eastAsia="仿宋_GB2312"/>
      <w:b/>
      <w:sz w:val="32"/>
      <w:szCs w:val="20"/>
    </w:rPr>
  </w:style>
  <w:style w:type="paragraph" w:styleId="6">
    <w:name w:val="Balloon Text"/>
    <w:basedOn w:val="1"/>
    <w:link w:val="14"/>
    <w:qFormat/>
    <w:uiPriority w:val="99"/>
    <w:rPr>
      <w:sz w:val="18"/>
      <w:szCs w:val="18"/>
    </w:rPr>
  </w:style>
  <w:style w:type="paragraph" w:styleId="7">
    <w:name w:val="footer"/>
    <w:basedOn w:val="1"/>
    <w:link w:val="13"/>
    <w:qFormat/>
    <w:uiPriority w:val="99"/>
    <w:pPr>
      <w:tabs>
        <w:tab w:val="center" w:pos="4153"/>
        <w:tab w:val="right" w:pos="8306"/>
      </w:tabs>
      <w:snapToGrid w:val="0"/>
      <w:jc w:val="left"/>
    </w:pPr>
    <w:rPr>
      <w:sz w:val="18"/>
      <w:szCs w:val="18"/>
    </w:rPr>
  </w:style>
  <w:style w:type="paragraph" w:styleId="8">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spacing w:beforeAutospacing="1" w:afterAutospacing="1"/>
      <w:jc w:val="left"/>
    </w:pPr>
    <w:rPr>
      <w:rFonts w:cs="Times New Roman" w:asciiTheme="minorHAnsi" w:hAnsiTheme="minorHAnsi" w:eastAsiaTheme="minorEastAsia"/>
      <w:kern w:val="0"/>
      <w:sz w:val="24"/>
    </w:rPr>
  </w:style>
  <w:style w:type="character" w:customStyle="1" w:styleId="12">
    <w:name w:val="页眉 字符"/>
    <w:basedOn w:val="11"/>
    <w:link w:val="8"/>
    <w:qFormat/>
    <w:uiPriority w:val="99"/>
    <w:rPr>
      <w:sz w:val="18"/>
      <w:szCs w:val="18"/>
    </w:rPr>
  </w:style>
  <w:style w:type="character" w:customStyle="1" w:styleId="13">
    <w:name w:val="页脚 字符"/>
    <w:basedOn w:val="11"/>
    <w:link w:val="7"/>
    <w:qFormat/>
    <w:uiPriority w:val="99"/>
    <w:rPr>
      <w:sz w:val="18"/>
      <w:szCs w:val="18"/>
    </w:rPr>
  </w:style>
  <w:style w:type="character" w:customStyle="1" w:styleId="14">
    <w:name w:val="批注框文本 字符"/>
    <w:basedOn w:val="11"/>
    <w:link w:val="6"/>
    <w:qFormat/>
    <w:uiPriority w:val="99"/>
    <w:rPr>
      <w:sz w:val="18"/>
      <w:szCs w:val="18"/>
    </w:rPr>
  </w:style>
  <w:style w:type="paragraph" w:customStyle="1" w:styleId="15">
    <w:name w:val="列出段落1"/>
    <w:basedOn w:val="1"/>
    <w:qFormat/>
    <w:uiPriority w:val="34"/>
    <w:pPr>
      <w:ind w:firstLine="420" w:firstLineChars="200"/>
    </w:pPr>
  </w:style>
  <w:style w:type="character" w:customStyle="1" w:styleId="16">
    <w:name w:val="标题 1 字符"/>
    <w:basedOn w:val="11"/>
    <w:link w:val="4"/>
    <w:qFormat/>
    <w:uiPriority w:val="9"/>
    <w:rPr>
      <w:rFonts w:ascii="宋体" w:hAnsi="宋体" w:eastAsia="宋体" w:cs="Times New Roman"/>
      <w:b/>
      <w:kern w:val="44"/>
      <w:sz w:val="48"/>
      <w:szCs w:val="48"/>
    </w:rPr>
  </w:style>
  <w:style w:type="paragraph" w:styleId="17">
    <w:name w:val="List Paragraph"/>
    <w:basedOn w:val="1"/>
    <w:qFormat/>
    <w:uiPriority w:val="34"/>
    <w:pPr>
      <w:ind w:firstLine="420" w:firstLineChars="200"/>
    </w:pPr>
    <w:rPr>
      <w:rFonts w:asciiTheme="minorHAnsi" w:hAnsiTheme="minorHAnsi" w:eastAsiaTheme="minorEastAsia" w:cstheme="minorBidi"/>
    </w:rPr>
  </w:style>
  <w:style w:type="character" w:customStyle="1" w:styleId="18">
    <w:name w:val="标题 2 字符"/>
    <w:basedOn w:val="11"/>
    <w:link w:val="5"/>
    <w:qFormat/>
    <w:uiPriority w:val="0"/>
    <w:rPr>
      <w:rFonts w:asciiTheme="majorHAnsi" w:hAnsiTheme="majorHAnsi" w:eastAsiaTheme="majorEastAsia" w:cstheme="majorBidi"/>
      <w:b/>
      <w:bCs/>
      <w:kern w:val="2"/>
      <w:sz w:val="32"/>
      <w:szCs w:val="32"/>
    </w:rPr>
  </w:style>
  <w:style w:type="paragraph" w:customStyle="1" w:styleId="19">
    <w:name w:val="列表段落1"/>
    <w:basedOn w:val="1"/>
    <w:qFormat/>
    <w:uiPriority w:val="34"/>
    <w:pPr>
      <w:ind w:firstLine="420" w:firstLineChars="200"/>
    </w:pPr>
    <w:rPr>
      <w:rFonts w:asciiTheme="minorHAnsi" w:hAnsiTheme="minorHAnsi" w:eastAsiaTheme="minorEastAsia" w:cstheme="minorBidi"/>
    </w:rPr>
  </w:style>
  <w:style w:type="paragraph" w:customStyle="1" w:styleId="20">
    <w:name w:val="paragraph"/>
    <w:basedOn w:val="1"/>
    <w:qFormat/>
    <w:uiPriority w:val="0"/>
    <w:pPr>
      <w:widowControl/>
      <w:spacing w:before="100" w:beforeAutospacing="1" w:after="100" w:afterAutospacing="1"/>
      <w:jc w:val="left"/>
    </w:pPr>
    <w:rPr>
      <w:rFonts w:ascii="宋体" w:hAnsi="宋体" w:eastAsia="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426</Words>
  <Characters>2430</Characters>
  <Lines>20</Lines>
  <Paragraphs>5</Paragraphs>
  <TotalTime>2</TotalTime>
  <ScaleCrop>false</ScaleCrop>
  <LinksUpToDate>false</LinksUpToDate>
  <CharactersWithSpaces>2851</CharactersWithSpaces>
  <Application>WPS Office_11.1.0.10395_F1E327BC-269C-435d-A152-05C5408002CA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2019-11-04T10:06:00Z</dcterms:created>
  <dc:creator>罗敏妍(广东省律师协会)</dc:creator>
  <cp:lastModifiedBy>陈韵</cp:lastModifiedBy>
  <cp:lastPrinted>2017-06-21T04:51:00Z</cp:lastPrinted>
  <dcterms:modified xsi:type="dcterms:W3CDTF">2021-10-18T03:21:30Z</dcterms:modified>
  <cp:revision>516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2052-11.1.0.10395</vt:lpwstr>
  </property>
  <property fmtid="{D5CDD505-2E9C-101B-9397-08002B2CF9AE}" pid="3" name="ICV">
    <vt:lpwstr>575FC6B3890D4B94AC7B0B4BBA1A09D2</vt:lpwstr>
  </property>
</Properties>
</file>