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after="156" w:afterLines="50" w:line="360" w:lineRule="auto"/>
        <w:jc w:val="center"/>
        <w:rPr>
          <w:rFonts w:ascii="黑体" w:hAnsi="黑体" w:eastAsia="黑体"/>
          <w:b/>
          <w:bCs/>
          <w:sz w:val="28"/>
          <w:szCs w:val="28"/>
        </w:rPr>
      </w:pPr>
      <w:r>
        <w:rPr>
          <w:rFonts w:hint="eastAsia" w:ascii="黑体" w:hAnsi="黑体" w:eastAsia="黑体"/>
          <w:b/>
          <w:bCs/>
          <w:sz w:val="28"/>
          <w:szCs w:val="28"/>
        </w:rPr>
        <w:t>骗取出口退税罪与走私罪、逃税罪的罪数认定实务探讨</w:t>
      </w:r>
    </w:p>
    <w:p>
      <w:pPr>
        <w:spacing w:before="312" w:beforeLines="100" w:after="156" w:afterLines="50" w:line="360" w:lineRule="auto"/>
        <w:jc w:val="center"/>
        <w:rPr>
          <w:rFonts w:ascii="宋体" w:hAnsi="宋体" w:eastAsia="宋体"/>
          <w:b/>
          <w:bCs/>
        </w:rPr>
      </w:pPr>
      <w:r>
        <w:rPr>
          <w:rFonts w:hint="eastAsia" w:ascii="黑体" w:hAnsi="黑体" w:eastAsia="黑体"/>
          <w:b/>
          <w:bCs/>
          <w:sz w:val="28"/>
          <w:szCs w:val="28"/>
        </w:rPr>
        <w:t>——以走私黄金骗取出口退税案为例</w:t>
      </w:r>
    </w:p>
    <w:p>
      <w:pPr>
        <w:spacing w:before="312" w:beforeLines="100" w:after="156" w:afterLines="50" w:line="360" w:lineRule="auto"/>
        <w:ind w:firstLine="422" w:firstLineChars="200"/>
        <w:rPr>
          <w:rFonts w:ascii="宋体" w:hAnsi="宋体" w:eastAsia="宋体"/>
          <w:b/>
          <w:bCs/>
        </w:rPr>
      </w:pPr>
      <w:r>
        <w:rPr>
          <w:rFonts w:hint="eastAsia" w:ascii="宋体" w:hAnsi="宋体" w:eastAsia="宋体"/>
          <w:b/>
          <w:bCs/>
        </w:rPr>
        <w:t>摘要</w:t>
      </w:r>
    </w:p>
    <w:p>
      <w:pPr>
        <w:spacing w:before="312" w:beforeLines="100" w:after="156" w:afterLines="50" w:line="360" w:lineRule="auto"/>
        <w:ind w:firstLine="422" w:firstLineChars="200"/>
        <w:rPr>
          <w:rFonts w:ascii="宋体" w:hAnsi="宋体" w:eastAsia="宋体"/>
        </w:rPr>
      </w:pPr>
      <w:r>
        <w:rPr>
          <w:rFonts w:hint="eastAsia" w:ascii="宋体" w:hAnsi="宋体" w:eastAsia="宋体"/>
          <w:b/>
          <w:bCs/>
        </w:rPr>
        <w:t>在部分骗取出口退税的案件中，行为人为了达到骗取出口退税的目的，往往还会涉及到伪报货物品名、规格、价格等符合走私犯罪构成要件的行为。目前，对当事人的行为是按照骗取出口退税罪与走私犯罪</w:t>
      </w:r>
      <w:bookmarkStart w:id="0" w:name="_Hlk70581792"/>
      <w:r>
        <w:rPr>
          <w:rFonts w:hint="eastAsia" w:ascii="宋体" w:hAnsi="宋体" w:eastAsia="宋体"/>
          <w:b/>
          <w:bCs/>
        </w:rPr>
        <w:t>实行数罪并罚？还是按照牵连犯理</w:t>
      </w:r>
      <w:bookmarkStart w:id="3" w:name="_GoBack"/>
      <w:bookmarkEnd w:id="3"/>
      <w:r>
        <w:rPr>
          <w:rFonts w:hint="eastAsia" w:ascii="宋体" w:hAnsi="宋体" w:eastAsia="宋体"/>
          <w:b/>
          <w:bCs/>
        </w:rPr>
        <w:t>论认定为一重罪处罚？</w:t>
      </w:r>
      <w:bookmarkEnd w:id="0"/>
      <w:r>
        <w:rPr>
          <w:rFonts w:hint="eastAsia" w:ascii="宋体" w:hAnsi="宋体" w:eastAsia="宋体"/>
          <w:b/>
          <w:bCs/>
        </w:rPr>
        <w:t>在法学理论界具有较大的争议，且在司法实务中，侦查机关、公诉机关、以及审判机关的认知和观点也不近相同，导致相同或类似案情得到不同的判决；此外，骗取出口退税罪与逃税罪因《刑法》第二百零四条第二款</w:t>
      </w:r>
      <w:r>
        <w:rPr>
          <w:rStyle w:val="15"/>
          <w:rFonts w:hint="eastAsia" w:ascii="宋体" w:hAnsi="宋体" w:eastAsia="宋体"/>
          <w:b/>
          <w:bCs/>
        </w:rPr>
        <w:footnoteReference w:id="0"/>
      </w:r>
      <w:r>
        <w:rPr>
          <w:rFonts w:hint="eastAsia" w:ascii="宋体" w:hAnsi="宋体" w:eastAsia="宋体"/>
          <w:b/>
          <w:bCs/>
        </w:rPr>
        <w:t>的规定而发生了法条竞合，在实务中如何区别两罪的定罪条件也是我们这篇文章要探讨的内容。</w:t>
      </w:r>
    </w:p>
    <w:p>
      <w:pPr>
        <w:spacing w:before="312" w:beforeLines="100" w:after="156" w:afterLines="50" w:line="360" w:lineRule="auto"/>
        <w:ind w:firstLine="422" w:firstLineChars="200"/>
        <w:rPr>
          <w:rFonts w:ascii="宋体" w:hAnsi="宋体" w:eastAsia="宋体"/>
          <w:b/>
          <w:bCs/>
        </w:rPr>
      </w:pPr>
      <w:r>
        <w:rPr>
          <w:rFonts w:hint="eastAsia" w:ascii="宋体" w:hAnsi="宋体" w:eastAsia="宋体"/>
          <w:b/>
          <w:bCs/>
        </w:rPr>
        <w:t>一、案例引入</w:t>
      </w:r>
    </w:p>
    <w:p>
      <w:pPr>
        <w:spacing w:after="156" w:afterLines="50" w:line="360" w:lineRule="auto"/>
        <w:ind w:firstLine="420" w:firstLineChars="200"/>
        <w:rPr>
          <w:rFonts w:ascii="宋体" w:hAnsi="宋体" w:eastAsia="宋体"/>
        </w:rPr>
      </w:pPr>
      <w:r>
        <w:rPr>
          <w:rFonts w:hint="eastAsia" w:ascii="宋体" w:hAnsi="宋体" w:eastAsia="宋体"/>
        </w:rPr>
        <w:t>某企业在大陆正规金行（非银行）购买黄金、铜线、电源连接线等生产原料，并将黄金、铜线等生产加工成含黄金的高保真音响线，同时，该企业将连接头邮寄至香港，然后将连接头以远高于实际购买价格的价格（1</w:t>
      </w:r>
      <w:r>
        <w:rPr>
          <w:rFonts w:ascii="宋体" w:hAnsi="宋体" w:eastAsia="宋体"/>
        </w:rPr>
        <w:t>45</w:t>
      </w:r>
      <w:r>
        <w:rPr>
          <w:rFonts w:hint="eastAsia" w:ascii="宋体" w:hAnsi="宋体" w:eastAsia="宋体"/>
        </w:rPr>
        <w:t>元至2</w:t>
      </w:r>
      <w:r>
        <w:rPr>
          <w:rFonts w:ascii="宋体" w:hAnsi="宋体" w:eastAsia="宋体"/>
        </w:rPr>
        <w:t>05</w:t>
      </w:r>
      <w:r>
        <w:rPr>
          <w:rFonts w:hint="eastAsia" w:ascii="宋体" w:hAnsi="宋体" w:eastAsia="宋体"/>
        </w:rPr>
        <w:t>元人民币的购买价格，向海关申报的价格为1</w:t>
      </w:r>
      <w:r>
        <w:rPr>
          <w:rFonts w:ascii="宋体" w:hAnsi="宋体" w:eastAsia="宋体"/>
        </w:rPr>
        <w:t>85</w:t>
      </w:r>
      <w:r>
        <w:rPr>
          <w:rFonts w:hint="eastAsia" w:ascii="宋体" w:hAnsi="宋体" w:eastAsia="宋体"/>
        </w:rPr>
        <w:t>至2</w:t>
      </w:r>
      <w:r>
        <w:rPr>
          <w:rFonts w:ascii="宋体" w:hAnsi="宋体" w:eastAsia="宋体"/>
        </w:rPr>
        <w:t>07</w:t>
      </w:r>
      <w:r>
        <w:rPr>
          <w:rFonts w:hint="eastAsia" w:ascii="宋体" w:hAnsi="宋体" w:eastAsia="宋体"/>
        </w:rPr>
        <w:t>美元）向海关申报，从而获得连接头的进项价格凭证，然后将连接头与音响线再加工成完整的高保证音响线，向海关申报出口并向税务局申请退税。根据我国相关法律规定，黄金成本占比低于80%的属于黄金制品，出口不需许可证并可办理退税，若黄金占比高于80%，则出口需要申办许可证而且不可办理退税。因此，该企业将连接头进口时高报价格正是为了达到在高保真音响线中将黄金成本比例调整至80%以下。上述音响线被出口到香港后，由其合作公司将合金线中的黄金提纯贩卖</w:t>
      </w:r>
      <w:r>
        <w:rPr>
          <w:rStyle w:val="15"/>
          <w:rFonts w:ascii="宋体" w:hAnsi="宋体" w:eastAsia="宋体"/>
        </w:rPr>
        <w:footnoteReference w:id="1"/>
      </w:r>
      <w:r>
        <w:rPr>
          <w:rFonts w:hint="eastAsia" w:ascii="宋体" w:hAnsi="宋体" w:eastAsia="宋体"/>
        </w:rPr>
        <w:t>。</w:t>
      </w:r>
    </w:p>
    <w:p>
      <w:pPr>
        <w:spacing w:after="156" w:afterLines="50" w:line="360" w:lineRule="auto"/>
        <w:ind w:firstLine="420" w:firstLineChars="200"/>
        <w:rPr>
          <w:rFonts w:ascii="宋体" w:hAnsi="宋体" w:eastAsia="宋体"/>
        </w:rPr>
      </w:pPr>
      <w:r>
        <w:rPr>
          <w:rFonts w:hint="eastAsia" w:ascii="宋体" w:hAnsi="宋体" w:eastAsia="宋体"/>
        </w:rPr>
        <w:t>现公诉机关将该企业以“走私贵重金属罪”与“骗取出口退税罪”二罪起诉至法院。</w:t>
      </w:r>
    </w:p>
    <w:p>
      <w:pPr>
        <w:spacing w:after="156" w:afterLines="50" w:line="360" w:lineRule="auto"/>
        <w:ind w:firstLine="420"/>
        <w:rPr>
          <w:rFonts w:ascii="宋体" w:hAnsi="宋体" w:eastAsia="宋体"/>
          <w:b/>
          <w:bCs/>
        </w:rPr>
      </w:pPr>
      <w:r>
        <w:rPr>
          <w:rFonts w:hint="eastAsia" w:ascii="宋体" w:hAnsi="宋体" w:eastAsia="宋体"/>
          <w:b/>
          <w:bCs/>
        </w:rPr>
        <w:t>二、走私罪与骗取出口退税罪：多数只以一罪判处</w:t>
      </w:r>
    </w:p>
    <w:p>
      <w:pPr>
        <w:spacing w:after="156" w:afterLines="50" w:line="360" w:lineRule="auto"/>
        <w:ind w:firstLine="420"/>
        <w:rPr>
          <w:rFonts w:ascii="宋体" w:hAnsi="宋体" w:eastAsia="宋体"/>
          <w:b/>
          <w:bCs/>
        </w:rPr>
      </w:pPr>
      <w:r>
        <w:rPr>
          <w:rFonts w:hint="eastAsia" w:ascii="宋体" w:hAnsi="宋体" w:eastAsia="宋体"/>
          <w:b/>
          <w:bCs/>
        </w:rPr>
        <w:t>（一）司法实践判例数据</w:t>
      </w:r>
    </w:p>
    <w:p>
      <w:pPr>
        <w:spacing w:after="156" w:afterLines="50" w:line="360" w:lineRule="auto"/>
        <w:ind w:firstLine="420" w:firstLineChars="200"/>
        <w:rPr>
          <w:rFonts w:ascii="宋体" w:hAnsi="宋体" w:eastAsia="宋体"/>
        </w:rPr>
      </w:pPr>
      <w:r>
        <w:rPr>
          <w:rFonts w:hint="eastAsia" w:ascii="宋体" w:hAnsi="宋体" w:eastAsia="宋体"/>
        </w:rPr>
        <w:t>司法实践中类似的案例也有不同的判处结果。经检索，以走私某种特定物的手段骗取出口退税的类似案例有</w:t>
      </w:r>
      <w:r>
        <w:rPr>
          <w:rFonts w:ascii="宋体" w:hAnsi="宋体" w:eastAsia="宋体"/>
        </w:rPr>
        <w:t>9</w:t>
      </w:r>
      <w:r>
        <w:rPr>
          <w:rFonts w:hint="eastAsia" w:ascii="宋体" w:hAnsi="宋体" w:eastAsia="宋体"/>
        </w:rPr>
        <w:t>宗。其中认为构成牵连，只以一罪处罚的有两宗，分别是</w:t>
      </w:r>
      <w:r>
        <w:rPr>
          <w:rFonts w:ascii="宋体" w:hAnsi="宋体" w:eastAsia="宋体"/>
        </w:rPr>
        <w:t>(2017)琼刑终60号</w:t>
      </w:r>
      <w:r>
        <w:rPr>
          <w:rFonts w:hint="eastAsia" w:ascii="宋体" w:hAnsi="宋体" w:eastAsia="宋体"/>
        </w:rPr>
        <w:t>、</w:t>
      </w:r>
      <w:r>
        <w:rPr>
          <w:rFonts w:ascii="宋体" w:hAnsi="宋体" w:eastAsia="宋体"/>
        </w:rPr>
        <w:t>(2019)苏01刑初77号</w:t>
      </w:r>
      <w:r>
        <w:rPr>
          <w:rFonts w:hint="eastAsia" w:ascii="宋体" w:hAnsi="宋体" w:eastAsia="宋体"/>
        </w:rPr>
        <w:t>；认为并不构成牵连关系，应当数罪并罚的仅有一宗，</w:t>
      </w:r>
      <w:r>
        <w:rPr>
          <w:rFonts w:ascii="宋体" w:hAnsi="宋体" w:eastAsia="宋体"/>
          <w:sz w:val="20"/>
          <w:szCs w:val="21"/>
        </w:rPr>
        <w:t>(2016)浙0803刑初168号</w:t>
      </w:r>
      <w:r>
        <w:rPr>
          <w:rFonts w:hint="eastAsia" w:ascii="宋体" w:hAnsi="宋体" w:eastAsia="宋体"/>
        </w:rPr>
        <w:t>；只以骗取出口退税罪论处，没有评价走私行为有五宗，分别是</w:t>
      </w:r>
      <w:r>
        <w:rPr>
          <w:rFonts w:ascii="宋体" w:hAnsi="宋体" w:eastAsia="宋体"/>
        </w:rPr>
        <w:t>(2016)苏刑终134号</w:t>
      </w:r>
      <w:r>
        <w:rPr>
          <w:rFonts w:hint="eastAsia" w:ascii="宋体" w:hAnsi="宋体" w:eastAsia="宋体"/>
        </w:rPr>
        <w:t>、</w:t>
      </w:r>
      <w:r>
        <w:rPr>
          <w:rFonts w:ascii="宋体" w:hAnsi="宋体" w:eastAsia="宋体"/>
        </w:rPr>
        <w:t>(2018)云31刑初223号</w:t>
      </w:r>
      <w:r>
        <w:rPr>
          <w:rFonts w:hint="eastAsia" w:ascii="宋体" w:hAnsi="宋体" w:eastAsia="宋体"/>
        </w:rPr>
        <w:t>、</w:t>
      </w:r>
      <w:r>
        <w:rPr>
          <w:rFonts w:ascii="宋体" w:hAnsi="宋体" w:eastAsia="宋体"/>
        </w:rPr>
        <w:t>(2014)德刑三初字第117号</w:t>
      </w:r>
      <w:r>
        <w:rPr>
          <w:rFonts w:hint="eastAsia" w:ascii="宋体" w:hAnsi="宋体" w:eastAsia="宋体"/>
        </w:rPr>
        <w:t>、</w:t>
      </w:r>
      <w:r>
        <w:rPr>
          <w:rFonts w:ascii="宋体" w:hAnsi="宋体" w:eastAsia="宋体"/>
        </w:rPr>
        <w:t>(2018)浙07刑终1204号</w:t>
      </w:r>
      <w:r>
        <w:rPr>
          <w:rFonts w:hint="eastAsia" w:ascii="宋体" w:hAnsi="宋体" w:eastAsia="宋体"/>
        </w:rPr>
        <w:t>、</w:t>
      </w:r>
      <w:r>
        <w:rPr>
          <w:rFonts w:ascii="宋体" w:hAnsi="宋体" w:eastAsia="宋体"/>
          <w:sz w:val="20"/>
          <w:szCs w:val="21"/>
        </w:rPr>
        <w:t>(2017)浙07刑初53号</w:t>
      </w:r>
      <w:r>
        <w:rPr>
          <w:rFonts w:hint="eastAsia" w:ascii="宋体" w:hAnsi="宋体" w:eastAsia="宋体"/>
        </w:rPr>
        <w:t>；只以走私罪论处，没有评价骗税行为的有一宗，</w:t>
      </w:r>
      <w:r>
        <w:rPr>
          <w:rFonts w:ascii="宋体" w:hAnsi="宋体" w:eastAsia="宋体"/>
        </w:rPr>
        <w:t>(2020)鲁11刑初16号</w:t>
      </w:r>
      <w:r>
        <w:rPr>
          <w:rFonts w:hint="eastAsia" w:ascii="宋体" w:hAnsi="宋体" w:eastAsia="宋体"/>
        </w:rPr>
        <w:t xml:space="preserve">。 </w:t>
      </w:r>
    </w:p>
    <w:p>
      <w:pPr>
        <w:spacing w:after="156" w:afterLines="50" w:line="360" w:lineRule="auto"/>
        <w:ind w:firstLine="420"/>
        <w:rPr>
          <w:rFonts w:ascii="宋体" w:hAnsi="宋体" w:eastAsia="宋体"/>
        </w:rPr>
      </w:pPr>
      <w:r>
        <w:rPr>
          <w:rFonts w:hint="eastAsia" w:ascii="宋体" w:hAnsi="宋体" w:eastAsia="宋体"/>
        </w:rPr>
        <w:drawing>
          <wp:inline distT="0" distB="0" distL="0" distR="0">
            <wp:extent cx="4440555" cy="3076575"/>
            <wp:effectExtent l="0" t="0" r="17145" b="952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spacing w:after="156" w:afterLines="50" w:line="360" w:lineRule="auto"/>
        <w:ind w:firstLine="420"/>
        <w:rPr>
          <w:rFonts w:ascii="宋体" w:hAnsi="宋体" w:eastAsia="宋体"/>
          <w:b/>
          <w:bCs/>
        </w:rPr>
      </w:pPr>
      <w:r>
        <w:rPr>
          <w:rFonts w:hint="eastAsia" w:ascii="宋体" w:hAnsi="宋体" w:eastAsia="宋体"/>
          <w:b/>
          <w:bCs/>
        </w:rPr>
        <w:t>（二）经典案例</w:t>
      </w:r>
    </w:p>
    <w:p>
      <w:pPr>
        <w:spacing w:after="156" w:afterLines="50" w:line="360" w:lineRule="auto"/>
        <w:ind w:firstLine="420"/>
        <w:rPr>
          <w:rFonts w:ascii="宋体" w:hAnsi="宋体" w:eastAsia="宋体"/>
          <w:b/>
          <w:bCs/>
        </w:rPr>
      </w:pPr>
      <w:r>
        <w:rPr>
          <w:rFonts w:ascii="宋体" w:hAnsi="宋体" w:eastAsia="宋体"/>
          <w:b/>
          <w:bCs/>
        </w:rPr>
        <w:t>1.</w:t>
      </w:r>
      <w:r>
        <w:rPr>
          <w:rFonts w:hint="eastAsia" w:ascii="宋体" w:hAnsi="宋体" w:eastAsia="宋体"/>
          <w:b/>
          <w:bCs/>
        </w:rPr>
        <w:t>数罪并罚案例</w:t>
      </w:r>
    </w:p>
    <w:p>
      <w:pPr>
        <w:spacing w:after="156" w:afterLines="50" w:line="360" w:lineRule="auto"/>
        <w:ind w:firstLine="420"/>
        <w:rPr>
          <w:rFonts w:ascii="宋体" w:hAnsi="宋体" w:eastAsia="宋体"/>
        </w:rPr>
      </w:pPr>
      <w:r>
        <w:rPr>
          <w:rFonts w:hint="eastAsia" w:ascii="宋体" w:hAnsi="宋体" w:eastAsia="宋体"/>
        </w:rPr>
        <w:t>该案判决由浙江省衢州市衢江区人民法院于2</w:t>
      </w:r>
      <w:r>
        <w:rPr>
          <w:rFonts w:ascii="宋体" w:hAnsi="宋体" w:eastAsia="宋体"/>
        </w:rPr>
        <w:t>017</w:t>
      </w:r>
      <w:r>
        <w:rPr>
          <w:rFonts w:hint="eastAsia" w:ascii="宋体" w:hAnsi="宋体" w:eastAsia="宋体"/>
        </w:rPr>
        <w:t>年作出，主要案件事实如下。</w:t>
      </w:r>
    </w:p>
    <w:p>
      <w:pPr>
        <w:spacing w:after="156" w:afterLines="50" w:line="360" w:lineRule="auto"/>
        <w:ind w:firstLine="420"/>
        <w:rPr>
          <w:rFonts w:ascii="宋体" w:hAnsi="宋体" w:eastAsia="宋体"/>
        </w:rPr>
      </w:pPr>
      <w:r>
        <w:rPr>
          <w:rFonts w:hint="eastAsia" w:ascii="宋体" w:hAnsi="宋体" w:eastAsia="宋体"/>
        </w:rPr>
        <w:t>2</w:t>
      </w:r>
      <w:r>
        <w:rPr>
          <w:rFonts w:ascii="宋体" w:hAnsi="宋体" w:eastAsia="宋体"/>
        </w:rPr>
        <w:t>014</w:t>
      </w:r>
      <w:r>
        <w:rPr>
          <w:rFonts w:hint="eastAsia" w:ascii="宋体" w:hAnsi="宋体" w:eastAsia="宋体"/>
        </w:rPr>
        <w:t>年，行为人采取伪报品名的方式，在未经许可的情况下将国家限制出口的消耗臭氧层物质</w:t>
      </w:r>
      <w:r>
        <w:rPr>
          <w:rFonts w:ascii="宋体" w:hAnsi="宋体" w:eastAsia="宋体"/>
        </w:rPr>
        <w:t>R22、R142B、R12、R141B等走私出口。</w:t>
      </w:r>
      <w:r>
        <w:rPr>
          <w:rFonts w:hint="eastAsia" w:ascii="宋体" w:hAnsi="宋体" w:eastAsia="宋体"/>
        </w:rPr>
        <w:t>出口后，行为人用伪报的品名向衢州市国税部门申报退税，骗取出口退税款。</w:t>
      </w:r>
    </w:p>
    <w:p>
      <w:pPr>
        <w:spacing w:after="156" w:afterLines="50" w:line="360" w:lineRule="auto"/>
        <w:ind w:firstLine="420"/>
        <w:rPr>
          <w:rFonts w:ascii="宋体" w:hAnsi="宋体" w:eastAsia="宋体"/>
        </w:rPr>
      </w:pPr>
      <w:r>
        <w:rPr>
          <w:rFonts w:hint="eastAsia" w:ascii="宋体" w:hAnsi="宋体" w:eastAsia="宋体"/>
        </w:rPr>
        <w:t>对此，法院认为案件中消耗臭氧层物质出口后走私行为既遂，无论是否申请出口退税都不影响走私的既遂，申请退税也不是出口的必经程序或自然结果，出口单位可以选择不去申请出口退税。所以走私和退税之间不存在方法和结果的关系，也不属于实施某种犯罪的同一过程，即二罪之间不存在刑法意义上的牵连或吸收关系，应数罪并罚。</w:t>
      </w:r>
    </w:p>
    <w:p>
      <w:pPr>
        <w:spacing w:after="156" w:afterLines="50" w:line="360" w:lineRule="auto"/>
        <w:ind w:firstLine="420"/>
        <w:rPr>
          <w:rFonts w:ascii="宋体" w:hAnsi="宋体" w:eastAsia="宋体"/>
          <w:b/>
          <w:bCs/>
        </w:rPr>
      </w:pPr>
      <w:r>
        <w:rPr>
          <w:rFonts w:ascii="宋体" w:hAnsi="宋体" w:eastAsia="宋体"/>
          <w:b/>
          <w:bCs/>
        </w:rPr>
        <w:t>2.</w:t>
      </w:r>
      <w:r>
        <w:rPr>
          <w:rFonts w:hint="eastAsia" w:ascii="宋体" w:hAnsi="宋体" w:eastAsia="宋体"/>
          <w:b/>
          <w:bCs/>
        </w:rPr>
        <w:t>牵连犯一罪判处案例</w:t>
      </w:r>
    </w:p>
    <w:p>
      <w:pPr>
        <w:spacing w:after="156" w:afterLines="50" w:line="360" w:lineRule="auto"/>
        <w:ind w:firstLine="420"/>
        <w:rPr>
          <w:rFonts w:ascii="宋体" w:hAnsi="宋体" w:eastAsia="宋体"/>
        </w:rPr>
      </w:pPr>
      <w:r>
        <w:rPr>
          <w:rFonts w:hint="eastAsia" w:ascii="宋体" w:hAnsi="宋体" w:eastAsia="宋体"/>
        </w:rPr>
        <w:t>该判例由南京市中级人民法院于2</w:t>
      </w:r>
      <w:r>
        <w:rPr>
          <w:rFonts w:ascii="宋体" w:hAnsi="宋体" w:eastAsia="宋体"/>
        </w:rPr>
        <w:t>020</w:t>
      </w:r>
      <w:r>
        <w:rPr>
          <w:rFonts w:hint="eastAsia" w:ascii="宋体" w:hAnsi="宋体" w:eastAsia="宋体"/>
        </w:rPr>
        <w:t>年作出，主要案件事实如下。</w:t>
      </w:r>
    </w:p>
    <w:p>
      <w:pPr>
        <w:spacing w:after="156" w:afterLines="50" w:line="360" w:lineRule="auto"/>
        <w:ind w:firstLine="420"/>
        <w:rPr>
          <w:rFonts w:ascii="宋体" w:hAnsi="宋体" w:eastAsia="宋体"/>
        </w:rPr>
      </w:pPr>
      <w:r>
        <w:rPr>
          <w:rFonts w:ascii="宋体" w:hAnsi="宋体" w:eastAsia="宋体"/>
        </w:rPr>
        <w:t>2016年，被告单位东锐公司法定代表人被告人姚志刚与新业行公司商定由东锐公司销售白银给新业行公司。因白银属于我国出口配额许可证管理商品，白银出口不能退税，且银制品中白银作为原材料的成本超过80%不能退税，为降低成本、获取利润，由被告人姚志刚决定，并安排被告人王健、侯友林等人从国内采购白银，按每批次白银成本占比约78.5%配置白银及背板，简单加工后伪装成“溅射靶组件”，采用伪报出口、增加交易环节等方式，将白银走私出口至香港，并以“溅射靶组件”名义申报出口退税。</w:t>
      </w:r>
    </w:p>
    <w:p>
      <w:pPr>
        <w:spacing w:after="156" w:afterLines="50" w:line="360" w:lineRule="auto"/>
        <w:ind w:firstLine="420"/>
        <w:rPr>
          <w:rFonts w:ascii="宋体" w:hAnsi="宋体" w:eastAsia="宋体"/>
        </w:rPr>
      </w:pPr>
      <w:r>
        <w:rPr>
          <w:rFonts w:hint="eastAsia" w:ascii="宋体" w:hAnsi="宋体" w:eastAsia="宋体"/>
        </w:rPr>
        <w:t>对此，法院认为东锐公司实施的走私白银行为与骗取出口退税之间存在手段与目的的关系。在无退税的情况下，东锐公司将白银走私出境处于亏损状态，就东锐公司而言，走私白银行为不具有单独存在的可能性。且如以两罪定罪处罚会产生对伪装贸易这一客观行为重复评价的结果。因此，虽然东锐公司为骗取出口退税而采用的走私白银的手段行为已构成走私贵重金属罪，但鉴于东锐公司是在同一牟利目的驱使下，实施了数个连续的客观行为，应以其牟利目的直接指向的骗取出口退税罪一罪从重处罚。</w:t>
      </w:r>
    </w:p>
    <w:p>
      <w:pPr>
        <w:spacing w:after="156" w:afterLines="50" w:line="360" w:lineRule="auto"/>
        <w:ind w:firstLine="420"/>
        <w:rPr>
          <w:rFonts w:ascii="宋体" w:hAnsi="宋体" w:eastAsia="宋体"/>
          <w:b/>
          <w:bCs/>
        </w:rPr>
      </w:pPr>
      <w:r>
        <w:rPr>
          <w:rFonts w:ascii="宋体" w:hAnsi="宋体" w:eastAsia="宋体"/>
          <w:b/>
          <w:bCs/>
        </w:rPr>
        <w:t xml:space="preserve">3. </w:t>
      </w:r>
      <w:r>
        <w:rPr>
          <w:rFonts w:hint="eastAsia" w:ascii="宋体" w:hAnsi="宋体" w:eastAsia="宋体"/>
          <w:b/>
          <w:bCs/>
        </w:rPr>
        <w:t>只以骗取出口退税罪论处，没有评价走私行为案例</w:t>
      </w:r>
    </w:p>
    <w:p>
      <w:pPr>
        <w:spacing w:after="156" w:afterLines="50" w:line="360" w:lineRule="auto"/>
        <w:ind w:firstLine="420"/>
        <w:rPr>
          <w:rFonts w:ascii="宋体" w:hAnsi="宋体" w:eastAsia="宋体"/>
        </w:rPr>
      </w:pPr>
      <w:r>
        <w:rPr>
          <w:rFonts w:hint="eastAsia" w:ascii="宋体" w:hAnsi="宋体" w:eastAsia="宋体"/>
        </w:rPr>
        <w:t>这类案例的行为人基本上遵循着同一种模式，将“道具货物”出口又走私进口，反复循环，以此方法骗取出口退税款。</w:t>
      </w:r>
    </w:p>
    <w:p>
      <w:pPr>
        <w:spacing w:after="156" w:afterLines="50" w:line="360" w:lineRule="auto"/>
        <w:ind w:firstLine="420"/>
        <w:rPr>
          <w:rFonts w:ascii="宋体" w:hAnsi="宋体" w:eastAsia="宋体"/>
        </w:rPr>
      </w:pPr>
      <w:r>
        <w:rPr>
          <w:rFonts w:hint="eastAsia" w:ascii="宋体" w:hAnsi="宋体" w:eastAsia="宋体"/>
        </w:rPr>
        <w:t>如在</w:t>
      </w:r>
      <w:r>
        <w:rPr>
          <w:rFonts w:ascii="宋体" w:hAnsi="宋体" w:eastAsia="宋体"/>
        </w:rPr>
        <w:t>(2016)苏刑终134号</w:t>
      </w:r>
      <w:r>
        <w:rPr>
          <w:rFonts w:hint="eastAsia" w:ascii="宋体" w:hAnsi="宋体" w:eastAsia="宋体"/>
        </w:rPr>
        <w:t>案中，</w:t>
      </w:r>
      <w:r>
        <w:rPr>
          <w:rFonts w:ascii="宋体" w:hAnsi="宋体" w:eastAsia="宋体"/>
        </w:rPr>
        <w:t>被告人陆建忠、刘萍与被告人李小波等人商定将协力公司生产的“AOI光学检测仪”作为“道具机器”，采用高报价格出口、低报价格进口的手段骗取出口退税。为逃避海关监管、实现“道具机器”进出口的顺利流转，被告人商定将“道具机器”从上海海关出关、从南京海关入关</w:t>
      </w:r>
      <w:r>
        <w:rPr>
          <w:rFonts w:hint="eastAsia" w:ascii="宋体" w:hAnsi="宋体" w:eastAsia="宋体"/>
        </w:rPr>
        <w:t>。</w:t>
      </w:r>
      <w:r>
        <w:rPr>
          <w:rFonts w:ascii="宋体" w:hAnsi="宋体" w:eastAsia="宋体"/>
        </w:rPr>
        <w:t>具体操作流程是：协力公司将“道具机器”通过苏舜进出口分公司代理出口至台湾全测电子有限公司，以HS编码9031809090、“印刷电路板测量检验仪”等品名申报出口，出口价每台约40万美元。货物出口后，凌航公司再通过汇鸿进出口公司将“道具机器”从MANIATECHNOLOGYCO.LTD（协力公司境外关联公司）以HS编码9031499090（进口关税税率为0%)、“自动光学检测仪”等品名向南京新生圩海关报关进口，进口价每台约6万美元。“道具机器”进口回来后被运回协力公司仓库，协力公司将其更换假铭牌和包装箱后用</w:t>
      </w:r>
      <w:r>
        <w:rPr>
          <w:rFonts w:hint="eastAsia" w:ascii="宋体" w:hAnsi="宋体" w:eastAsia="宋体"/>
        </w:rPr>
        <w:t>于再次出口，如此循环操作。</w:t>
      </w:r>
    </w:p>
    <w:p>
      <w:pPr>
        <w:spacing w:after="156" w:afterLines="50" w:line="360" w:lineRule="auto"/>
        <w:ind w:firstLine="420"/>
        <w:rPr>
          <w:rFonts w:ascii="宋体" w:hAnsi="宋体" w:eastAsia="宋体"/>
        </w:rPr>
      </w:pPr>
      <w:r>
        <w:rPr>
          <w:rFonts w:hint="eastAsia" w:ascii="宋体" w:hAnsi="宋体" w:eastAsia="宋体"/>
        </w:rPr>
        <w:t>在本案中，法院将前述行为列为“骗取出口退税罪”的构成事实，并不认为前述行为构成走私，而是将这种反复出口的行为视作骗取出口退税罪的手段，被包含评价在骗取出口退税罪中，本质与牵连犯一罪判处的审判观点无异。</w:t>
      </w:r>
    </w:p>
    <w:p>
      <w:pPr>
        <w:spacing w:after="156" w:afterLines="50" w:line="360" w:lineRule="auto"/>
        <w:ind w:firstLine="420"/>
        <w:rPr>
          <w:rFonts w:ascii="宋体" w:hAnsi="宋体" w:eastAsia="宋体"/>
        </w:rPr>
      </w:pPr>
      <w:r>
        <w:rPr>
          <w:rFonts w:hint="eastAsia" w:ascii="宋体" w:hAnsi="宋体" w:eastAsia="宋体"/>
        </w:rPr>
        <w:t>以上三类判例实际上体现了两种观点，第一种观点是，走私类犯罪中只要走私的货物过境便为犯罪既遂，与行为人的犯罪目的无关，不论其在货物出口后有没有申请出口退税，都已经构成走私罪既遂；第二种观点是，走私行为在此类案件中只是骗取出口退税罪的一个手段，已经被骗取出口退税罪包含评价，应当以牵连犯从一重罪处罚的原则，以骗取出口退税罪处罚。</w:t>
      </w:r>
    </w:p>
    <w:p>
      <w:pPr>
        <w:spacing w:after="156" w:afterLines="50" w:line="360" w:lineRule="auto"/>
        <w:ind w:firstLine="420"/>
        <w:rPr>
          <w:rFonts w:ascii="宋体" w:hAnsi="宋体" w:eastAsia="宋体"/>
        </w:rPr>
      </w:pPr>
      <w:r>
        <w:rPr>
          <w:rFonts w:hint="eastAsia" w:ascii="宋体" w:hAnsi="宋体" w:eastAsia="宋体"/>
        </w:rPr>
        <w:t>那么此类案件究竟构成走私罪还是骗取出口退税罪，还是应予数罪并罚？本质在于行为人的走私后骗税行为是一个整体行为、两个分别行为还是两个有特定关联关系的分别行为。</w:t>
      </w:r>
    </w:p>
    <w:p>
      <w:pPr>
        <w:spacing w:before="312" w:beforeLines="100" w:after="156" w:afterLines="50" w:line="360" w:lineRule="auto"/>
        <w:ind w:firstLine="422" w:firstLineChars="200"/>
        <w:rPr>
          <w:rFonts w:ascii="宋体" w:hAnsi="宋体" w:eastAsia="宋体"/>
          <w:b/>
          <w:bCs/>
        </w:rPr>
      </w:pPr>
      <w:r>
        <w:rPr>
          <w:rFonts w:hint="eastAsia" w:ascii="宋体" w:hAnsi="宋体" w:eastAsia="宋体"/>
          <w:b/>
          <w:bCs/>
        </w:rPr>
        <w:t>三、行为性质认定</w:t>
      </w:r>
    </w:p>
    <w:p>
      <w:pPr>
        <w:spacing w:after="156" w:afterLines="50" w:line="360" w:lineRule="auto"/>
        <w:ind w:firstLine="420" w:firstLineChars="200"/>
        <w:rPr>
          <w:rFonts w:ascii="宋体" w:hAnsi="宋体" w:eastAsia="宋体"/>
        </w:rPr>
      </w:pPr>
      <w:r>
        <w:rPr>
          <w:rFonts w:hint="eastAsia" w:ascii="宋体" w:hAnsi="宋体" w:eastAsia="宋体"/>
        </w:rPr>
        <w:t>黄金是国家的特别监管的战略资源，根据财政部、国家税务总局、中国人民银行于2</w:t>
      </w:r>
      <w:r>
        <w:rPr>
          <w:rFonts w:ascii="宋体" w:hAnsi="宋体" w:eastAsia="宋体"/>
        </w:rPr>
        <w:t>000</w:t>
      </w:r>
      <w:r>
        <w:rPr>
          <w:rFonts w:hint="eastAsia" w:ascii="宋体" w:hAnsi="宋体" w:eastAsia="宋体"/>
        </w:rPr>
        <w:t>年发布的《关于配售出口黄金有关税收规定的通知》：“对出口黄金及出口金饰品的黄金原料部分不再予以出口退税”</w:t>
      </w:r>
      <w:r>
        <w:rPr>
          <w:rStyle w:val="15"/>
          <w:rFonts w:ascii="宋体" w:hAnsi="宋体" w:eastAsia="宋体"/>
        </w:rPr>
        <w:footnoteReference w:id="2"/>
      </w:r>
      <w:r>
        <w:rPr>
          <w:rFonts w:hint="eastAsia" w:ascii="宋体" w:hAnsi="宋体" w:eastAsia="宋体"/>
        </w:rPr>
        <w:t>。同时，根据海关总署发布的《中华人民共和国限制进出境物品表》，“金银等贵重金属及其制品”属于限制出境物品，出口黄金及其制品应当获取相关的许可证。</w:t>
      </w:r>
    </w:p>
    <w:p>
      <w:pPr>
        <w:spacing w:after="156" w:afterLines="50" w:line="360" w:lineRule="auto"/>
        <w:ind w:firstLine="420" w:firstLineChars="200"/>
        <w:rPr>
          <w:rFonts w:ascii="宋体" w:hAnsi="宋体" w:eastAsia="宋体"/>
        </w:rPr>
      </w:pPr>
      <w:r>
        <w:rPr>
          <w:rFonts w:hint="eastAsia" w:ascii="宋体" w:hAnsi="宋体" w:eastAsia="宋体"/>
        </w:rPr>
        <w:t>文章首部的案例中的企业将黄金“加工”为高保真音响线，将本受监管的黄金制品（含量8</w:t>
      </w:r>
      <w:r>
        <w:rPr>
          <w:rFonts w:ascii="宋体" w:hAnsi="宋体" w:eastAsia="宋体"/>
        </w:rPr>
        <w:t>0</w:t>
      </w:r>
      <w:r>
        <w:rPr>
          <w:rFonts w:hint="eastAsia" w:ascii="宋体" w:hAnsi="宋体" w:eastAsia="宋体"/>
        </w:rPr>
        <w:t>%以上）以高保真音响线的名义申报出口，并据此退税，在这一系列行为中，行为人既侵犯了黄金监管制度，又侵犯了税收管理制度。从法益保护的角度来看，侵犯了不同客体的两个不同行为是两个危害行为。</w:t>
      </w:r>
    </w:p>
    <w:p>
      <w:pPr>
        <w:spacing w:after="156" w:afterLines="50" w:line="360" w:lineRule="auto"/>
        <w:ind w:firstLine="420" w:firstLineChars="200"/>
        <w:rPr>
          <w:rFonts w:ascii="宋体" w:hAnsi="宋体" w:eastAsia="宋体"/>
        </w:rPr>
      </w:pPr>
      <w:r>
        <w:rPr>
          <w:rFonts w:hint="eastAsia" w:ascii="宋体" w:hAnsi="宋体" w:eastAsia="宋体"/>
        </w:rPr>
        <w:t>但从行为人犯罪目的角度来看，这两个实行行为中存在“牵连关系”。涉案企业将高保真音响线出口到香港，再提纯贩卖，这一过程中企业是无法获利的——香港的金价低于大陆。假设大陆金价为A，金价A由裸金价（a</w:t>
      </w:r>
      <w:r>
        <w:rPr>
          <w:rFonts w:ascii="宋体" w:hAnsi="宋体" w:eastAsia="宋体"/>
        </w:rPr>
        <w:t>1</w:t>
      </w:r>
      <w:r>
        <w:rPr>
          <w:rFonts w:hint="eastAsia" w:ascii="宋体" w:hAnsi="宋体" w:eastAsia="宋体"/>
        </w:rPr>
        <w:t>）+税款（a</w:t>
      </w:r>
      <w:r>
        <w:rPr>
          <w:rFonts w:ascii="宋体" w:hAnsi="宋体" w:eastAsia="宋体"/>
        </w:rPr>
        <w:t>2</w:t>
      </w:r>
      <w:r>
        <w:rPr>
          <w:rFonts w:hint="eastAsia" w:ascii="宋体" w:hAnsi="宋体" w:eastAsia="宋体"/>
        </w:rPr>
        <w:t>）构成。而香港黄金的购销不需要交税，故香港金价B为裸金价。为了便于理解，将金价A假设为</w:t>
      </w:r>
      <w:r>
        <w:rPr>
          <w:rFonts w:ascii="宋体" w:hAnsi="宋体" w:eastAsia="宋体"/>
        </w:rPr>
        <w:t>504</w:t>
      </w:r>
      <w:r>
        <w:rPr>
          <w:rFonts w:hint="eastAsia" w:ascii="宋体" w:hAnsi="宋体" w:eastAsia="宋体"/>
        </w:rPr>
        <w:t>元，裸金价a</w:t>
      </w:r>
      <w:r>
        <w:rPr>
          <w:rFonts w:ascii="宋体" w:hAnsi="宋体" w:eastAsia="宋体"/>
        </w:rPr>
        <w:t>1</w:t>
      </w:r>
      <w:r>
        <w:rPr>
          <w:rFonts w:hint="eastAsia" w:ascii="宋体" w:hAnsi="宋体" w:eastAsia="宋体"/>
        </w:rPr>
        <w:t>为</w:t>
      </w:r>
      <w:r>
        <w:rPr>
          <w:rFonts w:ascii="宋体" w:hAnsi="宋体" w:eastAsia="宋体"/>
        </w:rPr>
        <w:t>430</w:t>
      </w:r>
      <w:r>
        <w:rPr>
          <w:rFonts w:hint="eastAsia" w:ascii="宋体" w:hAnsi="宋体" w:eastAsia="宋体"/>
        </w:rPr>
        <w:t>元，税款a</w:t>
      </w:r>
      <w:r>
        <w:rPr>
          <w:rFonts w:ascii="宋体" w:hAnsi="宋体" w:eastAsia="宋体"/>
        </w:rPr>
        <w:t>2</w:t>
      </w:r>
      <w:r>
        <w:rPr>
          <w:rFonts w:hint="eastAsia" w:ascii="宋体" w:hAnsi="宋体" w:eastAsia="宋体"/>
        </w:rPr>
        <w:t>为</w:t>
      </w:r>
      <w:r>
        <w:rPr>
          <w:rFonts w:ascii="宋体" w:hAnsi="宋体" w:eastAsia="宋体"/>
        </w:rPr>
        <w:t>74</w:t>
      </w:r>
      <w:r>
        <w:rPr>
          <w:rFonts w:hint="eastAsia" w:ascii="宋体" w:hAnsi="宋体" w:eastAsia="宋体"/>
        </w:rPr>
        <w:t>元，而金价B为</w:t>
      </w:r>
      <w:r>
        <w:rPr>
          <w:rFonts w:ascii="宋体" w:hAnsi="宋体" w:eastAsia="宋体"/>
        </w:rPr>
        <w:t>428</w:t>
      </w:r>
      <w:r>
        <w:rPr>
          <w:rFonts w:hint="eastAsia" w:ascii="宋体" w:hAnsi="宋体" w:eastAsia="宋体"/>
        </w:rPr>
        <w:t>元。</w:t>
      </w:r>
      <w:r>
        <w:rPr>
          <w:rStyle w:val="15"/>
          <w:rFonts w:ascii="宋体" w:hAnsi="宋体" w:eastAsia="宋体"/>
        </w:rPr>
        <w:footnoteReference w:id="3"/>
      </w:r>
      <w:r>
        <w:rPr>
          <w:rFonts w:hint="eastAsia" w:ascii="宋体" w:hAnsi="宋体" w:eastAsia="宋体"/>
        </w:rPr>
        <w:t>那么企业从大陆将黄金售卖到香港，实际上还亏损</w:t>
      </w:r>
      <w:r>
        <w:rPr>
          <w:rFonts w:ascii="宋体" w:hAnsi="宋体" w:eastAsia="宋体"/>
        </w:rPr>
        <w:t>76</w:t>
      </w:r>
      <w:r>
        <w:rPr>
          <w:rFonts w:hint="eastAsia" w:ascii="宋体" w:hAnsi="宋体" w:eastAsia="宋体"/>
        </w:rPr>
        <w:t>元。那么此时企业以黄金音响线（</w:t>
      </w:r>
      <w:r>
        <w:rPr>
          <w:rFonts w:ascii="宋体" w:hAnsi="宋体" w:eastAsia="宋体"/>
        </w:rPr>
        <w:t>HS编码8544422900</w:t>
      </w:r>
      <w:r>
        <w:rPr>
          <w:rFonts w:hint="eastAsia" w:ascii="宋体" w:hAnsi="宋体" w:eastAsia="宋体"/>
        </w:rPr>
        <w:t>，出口退税率为1</w:t>
      </w:r>
      <w:r>
        <w:rPr>
          <w:rFonts w:ascii="宋体" w:hAnsi="宋体" w:eastAsia="宋体"/>
        </w:rPr>
        <w:t>3</w:t>
      </w:r>
      <w:r>
        <w:rPr>
          <w:rFonts w:hint="eastAsia" w:ascii="宋体" w:hAnsi="宋体" w:eastAsia="宋体"/>
        </w:rPr>
        <w:t>%）的名义申请退税，可以1</w:t>
      </w:r>
      <w:r>
        <w:rPr>
          <w:rFonts w:ascii="宋体" w:hAnsi="宋体" w:eastAsia="宋体"/>
        </w:rPr>
        <w:t>3</w:t>
      </w:r>
      <w:r>
        <w:rPr>
          <w:rFonts w:hint="eastAsia" w:ascii="宋体" w:hAnsi="宋体" w:eastAsia="宋体"/>
        </w:rPr>
        <w:t>%的出口退税率退回部分税款，为方便计算，简化黄金音响线中的价格构成为插头价格（2</w:t>
      </w:r>
      <w:r>
        <w:rPr>
          <w:rFonts w:ascii="宋体" w:hAnsi="宋体" w:eastAsia="宋体"/>
        </w:rPr>
        <w:t>00</w:t>
      </w:r>
      <w:r>
        <w:rPr>
          <w:rFonts w:hint="eastAsia" w:ascii="宋体" w:hAnsi="宋体" w:eastAsia="宋体"/>
        </w:rPr>
        <w:t>元）及黄金价格（以一克为例），则音响线价格为7</w:t>
      </w:r>
      <w:r>
        <w:rPr>
          <w:rFonts w:ascii="宋体" w:hAnsi="宋体" w:eastAsia="宋体"/>
        </w:rPr>
        <w:t>04</w:t>
      </w:r>
      <w:r>
        <w:rPr>
          <w:rFonts w:hint="eastAsia" w:ascii="宋体" w:hAnsi="宋体" w:eastAsia="宋体"/>
        </w:rPr>
        <w:t>元，退税款为9</w:t>
      </w:r>
      <w:r>
        <w:rPr>
          <w:rFonts w:ascii="宋体" w:hAnsi="宋体" w:eastAsia="宋体"/>
        </w:rPr>
        <w:t>2</w:t>
      </w:r>
      <w:r>
        <w:rPr>
          <w:rFonts w:hint="eastAsia" w:ascii="宋体" w:hAnsi="宋体" w:eastAsia="宋体"/>
        </w:rPr>
        <w:t>元。可见，整个业务流程下来，企业赚取的是退税款，净赚</w:t>
      </w:r>
      <w:r>
        <w:rPr>
          <w:rFonts w:ascii="宋体" w:hAnsi="宋体" w:eastAsia="宋体"/>
        </w:rPr>
        <w:t>16</w:t>
      </w:r>
      <w:r>
        <w:rPr>
          <w:rFonts w:hint="eastAsia" w:ascii="宋体" w:hAnsi="宋体" w:eastAsia="宋体"/>
        </w:rPr>
        <w:t>元。也就是说，先出口再退税，是一个业务闭环，但凡任一行为缺位，行为人的主观目的都无法实现。这两个行为相辅相成，无法相互剥离，是企业完成实行行为的一个整体动作，应视为一个行为。</w:t>
      </w:r>
    </w:p>
    <w:p>
      <w:pPr>
        <w:spacing w:after="156" w:afterLines="50" w:line="360" w:lineRule="auto"/>
        <w:ind w:firstLine="420" w:firstLineChars="200"/>
        <w:rPr>
          <w:rFonts w:ascii="宋体" w:hAnsi="宋体" w:eastAsia="宋体"/>
        </w:rPr>
      </w:pPr>
      <w:r>
        <w:rPr>
          <w:rFonts w:hint="eastAsia" w:ascii="宋体" w:hAnsi="宋体" w:eastAsia="宋体"/>
        </w:rPr>
        <w:t>在理论上，行为的单复数确实存在争议，但是在实践中，司法解释已经进行了一定的引导。</w:t>
      </w:r>
    </w:p>
    <w:p>
      <w:pPr>
        <w:spacing w:after="156" w:afterLines="50" w:line="360" w:lineRule="auto"/>
        <w:ind w:firstLine="420"/>
        <w:rPr>
          <w:rFonts w:ascii="宋体" w:hAnsi="宋体" w:eastAsia="宋体"/>
        </w:rPr>
      </w:pPr>
      <w:r>
        <w:rPr>
          <w:rFonts w:hint="eastAsia" w:ascii="宋体" w:hAnsi="宋体" w:eastAsia="宋体"/>
        </w:rPr>
        <w:t>在最高人民法院颁布的《关于审理骗取出口退税刑事案件具体应用法律若干问题的解释》中，第二条明确规定，“具有下列情形之一的，应当认定为刑法第二百零四条规定的“其他欺骗手段”：……</w:t>
      </w:r>
      <w:r>
        <w:rPr>
          <w:rFonts w:hint="eastAsia" w:ascii="宋体" w:hAnsi="宋体" w:eastAsia="宋体"/>
          <w:b/>
          <w:bCs/>
        </w:rPr>
        <w:t>（三）虽有货物出口，但虚构该出口货物的品名、数量、单价等要素，骗取未实际纳税部分出口退税款的</w:t>
      </w:r>
      <w:r>
        <w:rPr>
          <w:rFonts w:hint="eastAsia" w:ascii="宋体" w:hAnsi="宋体" w:eastAsia="宋体"/>
        </w:rPr>
        <w:t>；”</w:t>
      </w:r>
      <w:r>
        <w:rPr>
          <w:rStyle w:val="15"/>
          <w:rFonts w:ascii="宋体" w:hAnsi="宋体" w:eastAsia="宋体"/>
        </w:rPr>
        <w:footnoteReference w:id="4"/>
      </w:r>
      <w:r>
        <w:rPr>
          <w:rFonts w:hint="eastAsia" w:ascii="宋体" w:hAnsi="宋体" w:eastAsia="宋体"/>
        </w:rPr>
        <w:t>。该条文规定的“其他欺骗手段”均为货物有实际出口的行为模式。并且第三款规定的，虚构出口货物的品名、数量、单价等申报要素，是典型的逃避海关监管走私行为。但是最高法将此类具有骗税目的之走私行为作为骗取出口退税罪的“其他欺骗手段”，也就是说，这样的走私行为是骗取出口退税的一个手段行为，是构成骗取出口退税罪的客观行为之一，不应单独论罪，而应当以骗取出口退税罪论处，此时的走私行为被骗取出口退税罪包含评价，符合全面评价及禁止重复评价的原则。</w:t>
      </w:r>
    </w:p>
    <w:p>
      <w:pPr>
        <w:spacing w:after="156" w:afterLines="50" w:line="360" w:lineRule="auto"/>
        <w:ind w:firstLine="420"/>
        <w:rPr>
          <w:rFonts w:ascii="宋体" w:hAnsi="宋体" w:eastAsia="宋体"/>
        </w:rPr>
      </w:pPr>
      <w:r>
        <w:rPr>
          <w:rFonts w:hint="eastAsia" w:ascii="宋体" w:hAnsi="宋体" w:eastAsia="宋体"/>
        </w:rPr>
        <w:t>本案中，行为人将黄金音响线申报出口后提纯贩卖，按照内地与香港金价差异，是无法获利的，该行为完全是为了达到骗取出口退税的目的，按照《关于审理骗取出口退税刑事案件具体应用法律若干问题的解释》第二条第三款的规定，该走私行为应当被视为“其他欺骗手段”，不应单独论处。现公诉机关将行为人以二罪指控，是违反禁止重复评价原则的，既然前述司法解释已经将走私行为视作手段行为，即该走私行为是行为人构成骗取出口退税罪的客观行为之一，包括评价在骗取出口退税罪中，那么公诉机关便不该把黄金出口行为又再次以走私罪论处，是对同一客观行为的重复评价。</w:t>
      </w:r>
    </w:p>
    <w:p>
      <w:pPr>
        <w:spacing w:after="156" w:afterLines="50" w:line="360" w:lineRule="auto"/>
        <w:ind w:firstLine="420"/>
        <w:rPr>
          <w:rFonts w:ascii="宋体" w:hAnsi="宋体" w:eastAsia="宋体"/>
        </w:rPr>
      </w:pPr>
      <w:r>
        <w:rPr>
          <w:rFonts w:hint="eastAsia" w:ascii="宋体" w:hAnsi="宋体" w:eastAsia="宋体"/>
        </w:rPr>
        <w:t>综上，走私行为被视为手段行为包含评价于骗取出口退税罪，针对本文首部的黄金音响线出口骗税案例，公诉机关以骗取出口退税罪和走私贵重金属罪起诉与法无据；笔者认为，在骗取出口退税罪与走私贵重金属罪之间应以牵连犯理论择一重罪（即骗取出口退税罪）定罪，但是这还不是相关当事人应认定的最终罪名。因为在本案中，相关企业从正规金行购买的黄金，已经依法缴税，在后续退税环节所退的税款，是将已缴纳的税款再退回来，这里涉及到《刑法》第</w:t>
      </w:r>
      <w:r>
        <w:rPr>
          <w:rFonts w:ascii="宋体" w:hAnsi="宋体" w:eastAsia="宋体"/>
        </w:rPr>
        <w:t>204条的理解和适用</w:t>
      </w:r>
      <w:r>
        <w:rPr>
          <w:rFonts w:hint="eastAsia" w:ascii="宋体" w:hAnsi="宋体" w:eastAsia="宋体"/>
        </w:rPr>
        <w:t>。</w:t>
      </w:r>
    </w:p>
    <w:p>
      <w:pPr>
        <w:spacing w:after="156" w:afterLines="50" w:line="360" w:lineRule="auto"/>
        <w:ind w:firstLine="422" w:firstLineChars="200"/>
        <w:rPr>
          <w:rFonts w:ascii="宋体" w:hAnsi="宋体" w:eastAsia="宋体"/>
          <w:b/>
          <w:bCs/>
        </w:rPr>
      </w:pPr>
      <w:r>
        <w:rPr>
          <w:rFonts w:hint="eastAsia" w:ascii="宋体" w:hAnsi="宋体" w:eastAsia="宋体"/>
          <w:b/>
          <w:bCs/>
        </w:rPr>
        <w:t>四、《刑法》第</w:t>
      </w:r>
      <w:r>
        <w:rPr>
          <w:rFonts w:ascii="宋体" w:hAnsi="宋体" w:eastAsia="宋体"/>
          <w:b/>
          <w:bCs/>
        </w:rPr>
        <w:t>204条</w:t>
      </w:r>
      <w:r>
        <w:rPr>
          <w:rFonts w:hint="eastAsia" w:ascii="宋体" w:hAnsi="宋体" w:eastAsia="宋体"/>
          <w:b/>
          <w:bCs/>
        </w:rPr>
        <w:t>的理解和适用</w:t>
      </w:r>
    </w:p>
    <w:p>
      <w:pPr>
        <w:spacing w:after="156" w:afterLines="50" w:line="360" w:lineRule="auto"/>
        <w:ind w:firstLine="420" w:firstLineChars="200"/>
        <w:rPr>
          <w:rFonts w:ascii="宋体" w:hAnsi="宋体" w:eastAsia="宋体"/>
        </w:rPr>
      </w:pPr>
      <w:bookmarkStart w:id="1" w:name="_Hlk70582128"/>
      <w:r>
        <w:rPr>
          <w:rFonts w:hint="eastAsia" w:ascii="宋体" w:hAnsi="宋体" w:eastAsia="宋体"/>
        </w:rPr>
        <w:t>《刑法》第2</w:t>
      </w:r>
      <w:r>
        <w:rPr>
          <w:rFonts w:ascii="宋体" w:hAnsi="宋体" w:eastAsia="宋体"/>
        </w:rPr>
        <w:t>04</w:t>
      </w:r>
      <w:r>
        <w:rPr>
          <w:rFonts w:hint="eastAsia" w:ascii="宋体" w:hAnsi="宋体" w:eastAsia="宋体"/>
        </w:rPr>
        <w:t>条</w:t>
      </w:r>
      <w:bookmarkEnd w:id="1"/>
      <w:r>
        <w:rPr>
          <w:rFonts w:hint="eastAsia" w:ascii="宋体" w:hAnsi="宋体" w:eastAsia="宋体"/>
        </w:rPr>
        <w:t>规定：“以假报出口或者其他欺骗手段，骗取国家出口退税款，数额较大的，处五年以下有期徒刑或者拘役，并处骗取税款一倍以上五倍以下罚金；数额巨大或者有其他严重情节的，处五年以上十年以下有期徒刑，并处骗取税款一倍以上五倍以下罚金；数额特别巨大或者有其他特别严重情节的，处十年以上有期徒刑或者无期徒刑，并处骗取税款一倍以上五倍以下罚金或者没收财产。</w:t>
      </w:r>
    </w:p>
    <w:p>
      <w:pPr>
        <w:spacing w:after="156" w:afterLines="50" w:line="360" w:lineRule="auto"/>
        <w:ind w:firstLine="422" w:firstLineChars="200"/>
        <w:rPr>
          <w:rFonts w:ascii="宋体" w:hAnsi="宋体" w:eastAsia="宋体"/>
          <w:b/>
          <w:bCs/>
        </w:rPr>
      </w:pPr>
      <w:r>
        <w:rPr>
          <w:rFonts w:hint="eastAsia" w:ascii="宋体" w:hAnsi="宋体" w:eastAsia="宋体"/>
          <w:b/>
          <w:bCs/>
        </w:rPr>
        <w:t>纳税人缴纳税款后，采取前款规定的欺骗方法，骗取所缴纳的税款的，依照本法第二百零一条的规定定罪处罚；骗取税款超过所缴纳的税款部分，依照前款的规定处罚。”</w:t>
      </w:r>
      <w:r>
        <w:rPr>
          <w:rFonts w:ascii="宋体" w:hAnsi="宋体" w:eastAsia="宋体"/>
          <w:b/>
          <w:bCs/>
        </w:rPr>
        <w:t xml:space="preserve"> </w:t>
      </w:r>
    </w:p>
    <w:p>
      <w:pPr>
        <w:spacing w:after="156" w:afterLines="50" w:line="360" w:lineRule="auto"/>
        <w:ind w:firstLine="422" w:firstLineChars="200"/>
        <w:rPr>
          <w:rFonts w:ascii="宋体" w:hAnsi="宋体" w:eastAsia="宋体"/>
          <w:b/>
          <w:bCs/>
        </w:rPr>
      </w:pPr>
      <w:r>
        <w:rPr>
          <w:rFonts w:hint="eastAsia" w:ascii="宋体" w:hAnsi="宋体" w:eastAsia="宋体"/>
          <w:b/>
          <w:bCs/>
        </w:rPr>
        <w:t>故，根据《刑法》第</w:t>
      </w:r>
      <w:r>
        <w:rPr>
          <w:rFonts w:ascii="宋体" w:hAnsi="宋体" w:eastAsia="宋体"/>
          <w:b/>
          <w:bCs/>
        </w:rPr>
        <w:t>204</w:t>
      </w:r>
      <w:r>
        <w:rPr>
          <w:rFonts w:hint="eastAsia" w:ascii="宋体" w:hAnsi="宋体" w:eastAsia="宋体"/>
          <w:b/>
          <w:bCs/>
        </w:rPr>
        <w:t>条第二款规定，涉案企业应以逃税罪而不是骗取出口退税罪定罪。</w:t>
      </w:r>
    </w:p>
    <w:p>
      <w:pPr>
        <w:spacing w:after="156" w:afterLines="50" w:line="360" w:lineRule="auto"/>
        <w:ind w:firstLine="422" w:firstLineChars="200"/>
        <w:rPr>
          <w:rFonts w:ascii="宋体" w:hAnsi="宋体" w:eastAsia="宋体"/>
          <w:b/>
          <w:bCs/>
        </w:rPr>
      </w:pPr>
      <w:r>
        <w:rPr>
          <w:rFonts w:hint="eastAsia" w:ascii="宋体" w:hAnsi="宋体" w:eastAsia="宋体"/>
          <w:b/>
          <w:bCs/>
        </w:rPr>
        <w:t>（一）骗取出口退税罪的立法原意及构成</w:t>
      </w:r>
    </w:p>
    <w:p>
      <w:pPr>
        <w:spacing w:after="156" w:afterLines="50" w:line="360" w:lineRule="auto"/>
        <w:ind w:firstLine="420" w:firstLineChars="200"/>
        <w:rPr>
          <w:rFonts w:ascii="宋体" w:hAnsi="宋体" w:eastAsia="宋体"/>
        </w:rPr>
      </w:pPr>
      <w:r>
        <w:rPr>
          <w:rFonts w:hint="eastAsia" w:ascii="宋体" w:hAnsi="宋体" w:eastAsia="宋体"/>
        </w:rPr>
        <w:t>骗取出口退税罪建立在我国的出口退税制度之上。为了消除贸易壁垒，让货物可以零税率的进入国际市场自由竞争，我国出口退税制度解放了进出口过程中的双重税负，实行进口足额征税，出口全额退税的制度。而针对国内生产、流转的商品，出口退税的原则是少征少退、多征多退、不征不退、全征全退。实现征退一致，将商品在出口环节前缴纳的国内税款及进口税款全部退还。</w:t>
      </w:r>
    </w:p>
    <w:p>
      <w:pPr>
        <w:spacing w:after="156" w:afterLines="50" w:line="360" w:lineRule="auto"/>
        <w:ind w:firstLine="420" w:firstLineChars="200"/>
        <w:rPr>
          <w:rFonts w:ascii="宋体" w:hAnsi="宋体" w:eastAsia="宋体"/>
        </w:rPr>
      </w:pPr>
      <w:r>
        <w:rPr>
          <w:rFonts w:hint="eastAsia" w:ascii="宋体" w:hAnsi="宋体" w:eastAsia="宋体"/>
        </w:rPr>
        <w:t>因此，骗取出口退税罪的客观要件必须满足以下条件：虚构已缴税事实。</w:t>
      </w:r>
    </w:p>
    <w:p>
      <w:pPr>
        <w:spacing w:after="156" w:afterLines="50" w:line="360" w:lineRule="auto"/>
        <w:ind w:firstLine="420" w:firstLineChars="200"/>
        <w:rPr>
          <w:rFonts w:ascii="宋体" w:hAnsi="宋体" w:eastAsia="宋体"/>
        </w:rPr>
      </w:pPr>
      <w:r>
        <w:rPr>
          <w:rFonts w:hint="eastAsia" w:ascii="宋体" w:hAnsi="宋体" w:eastAsia="宋体"/>
        </w:rPr>
        <w:t>其中，具体包括未缴税虚构为已缴税、未足额缴税虚构为足额缴税等情况。至于货物是否实际出口，不影响骗取出口退税的构成。也即主要分为两种行为模式：</w:t>
      </w:r>
    </w:p>
    <w:p>
      <w:pPr>
        <w:spacing w:after="156" w:afterLines="50" w:line="360" w:lineRule="auto"/>
        <w:ind w:firstLine="422" w:firstLineChars="200"/>
        <w:rPr>
          <w:rFonts w:ascii="宋体" w:hAnsi="宋体" w:eastAsia="宋体"/>
        </w:rPr>
      </w:pPr>
      <w:r>
        <w:rPr>
          <w:rFonts w:hint="eastAsia" w:ascii="宋体" w:hAnsi="宋体" w:eastAsia="宋体"/>
          <w:b/>
          <w:bCs/>
        </w:rPr>
        <w:t>（</w:t>
      </w:r>
      <w:r>
        <w:rPr>
          <w:rFonts w:ascii="宋体" w:hAnsi="宋体" w:eastAsia="宋体"/>
          <w:b/>
          <w:bCs/>
        </w:rPr>
        <w:t>1）</w:t>
      </w:r>
      <w:r>
        <w:rPr>
          <w:rFonts w:hint="eastAsia" w:ascii="宋体" w:hAnsi="宋体" w:eastAsia="宋体"/>
          <w:b/>
          <w:bCs/>
        </w:rPr>
        <w:t>货物未实际出口。</w:t>
      </w:r>
      <w:r>
        <w:rPr>
          <w:rFonts w:hint="eastAsia" w:ascii="宋体" w:hAnsi="宋体" w:eastAsia="宋体"/>
        </w:rPr>
        <w:t>即最高人民法院发布的《关于审理骗取出口退税刑事案件具体应用法律若干问题的解释》（以下称作“《骗取出口退税司法解释》”）的第一条所称的“假报出口”：“（一）伪造或者签订虚假的买卖合同；（二）以伪造、变造或者其他非法手段取得出口货物报关单、出口收汇核销单、出口货物专用缴款书等有关出口退税单据、凭证；”等；</w:t>
      </w:r>
    </w:p>
    <w:p>
      <w:pPr>
        <w:spacing w:after="156" w:afterLines="50" w:line="360" w:lineRule="auto"/>
        <w:ind w:firstLine="422" w:firstLineChars="200"/>
        <w:rPr>
          <w:rFonts w:ascii="宋体" w:hAnsi="宋体" w:eastAsia="宋体"/>
        </w:rPr>
      </w:pPr>
      <w:r>
        <w:rPr>
          <w:rFonts w:hint="eastAsia" w:ascii="宋体" w:hAnsi="宋体" w:eastAsia="宋体"/>
          <w:b/>
          <w:bCs/>
        </w:rPr>
        <w:t>（</w:t>
      </w:r>
      <w:r>
        <w:rPr>
          <w:rFonts w:ascii="宋体" w:hAnsi="宋体" w:eastAsia="宋体"/>
          <w:b/>
          <w:bCs/>
        </w:rPr>
        <w:t>2）</w:t>
      </w:r>
      <w:r>
        <w:rPr>
          <w:rFonts w:hint="eastAsia" w:ascii="宋体" w:hAnsi="宋体" w:eastAsia="宋体"/>
          <w:b/>
          <w:bCs/>
        </w:rPr>
        <w:t>货物已实际出口。</w:t>
      </w:r>
      <w:r>
        <w:rPr>
          <w:rFonts w:hint="eastAsia" w:ascii="宋体" w:hAnsi="宋体" w:eastAsia="宋体"/>
        </w:rPr>
        <w:t>也就是《骗取出口退税司法解释》第一条第三款所称“（三）虚开、伪造、非法购买增值税专用发票或者其他可以用于出口退税的发票；”以及第二条所称的“其他欺骗手段”：“（一）骗取出口货物退税资格的；（二）将未纳税或者免税货物作为已税货物出口的；（三）虽有货物出口，但虚构该出口货物的品名、数量、单价等要素，骗取未实际纳税部分出口退税款的；”。</w:t>
      </w:r>
      <w:r>
        <w:rPr>
          <w:rFonts w:ascii="宋体" w:hAnsi="宋体" w:eastAsia="宋体"/>
        </w:rPr>
        <w:t xml:space="preserve"> </w:t>
      </w:r>
    </w:p>
    <w:p>
      <w:pPr>
        <w:spacing w:after="156" w:afterLines="50" w:line="360" w:lineRule="auto"/>
        <w:ind w:firstLine="422" w:firstLineChars="200"/>
        <w:rPr>
          <w:rFonts w:ascii="宋体" w:hAnsi="宋体" w:eastAsia="宋体"/>
          <w:b/>
          <w:bCs/>
        </w:rPr>
      </w:pPr>
      <w:r>
        <w:rPr>
          <w:rFonts w:hint="eastAsia" w:ascii="宋体" w:hAnsi="宋体" w:eastAsia="宋体"/>
          <w:b/>
          <w:bCs/>
        </w:rPr>
        <w:t>概括而言，行为人在骗取出口退税时，货物是否实际出口并不阻碍罪的成立，关键是行为人没有缴纳过相应的税款还申请了退税。正如张明楷教授所言：“骗取出口退税罪，只有在没有缴纳税款的情况下才可能成立”</w:t>
      </w:r>
      <w:r>
        <w:rPr>
          <w:rStyle w:val="15"/>
          <w:rFonts w:ascii="宋体" w:hAnsi="宋体" w:eastAsia="宋体"/>
          <w:b/>
          <w:bCs/>
        </w:rPr>
        <w:footnoteReference w:id="5"/>
      </w:r>
      <w:r>
        <w:rPr>
          <w:rFonts w:hint="eastAsia" w:ascii="宋体" w:hAnsi="宋体" w:eastAsia="宋体"/>
          <w:b/>
          <w:bCs/>
        </w:rPr>
        <w:t>。也就是说，前述案例中，企业在购买黄金时已经依法缴纳税款，便不成立骗取出口退税罪。</w:t>
      </w:r>
    </w:p>
    <w:p>
      <w:pPr>
        <w:spacing w:after="156" w:afterLines="50" w:line="360" w:lineRule="auto"/>
        <w:ind w:firstLine="422" w:firstLineChars="200"/>
        <w:rPr>
          <w:rFonts w:ascii="宋体" w:hAnsi="宋体" w:eastAsia="宋体"/>
          <w:b/>
          <w:bCs/>
        </w:rPr>
      </w:pPr>
      <w:r>
        <w:rPr>
          <w:rFonts w:hint="eastAsia" w:ascii="宋体" w:hAnsi="宋体" w:eastAsia="宋体"/>
          <w:b/>
          <w:bCs/>
        </w:rPr>
        <w:t>（二）骗取出口退税罪与逃税罪的区别与认定</w:t>
      </w:r>
    </w:p>
    <w:p>
      <w:pPr>
        <w:spacing w:after="156" w:afterLines="50" w:line="360" w:lineRule="auto"/>
        <w:ind w:firstLine="420" w:firstLineChars="200"/>
        <w:rPr>
          <w:rFonts w:ascii="宋体" w:hAnsi="宋体" w:eastAsia="宋体"/>
        </w:rPr>
      </w:pPr>
      <w:r>
        <w:rPr>
          <w:rFonts w:ascii="宋体" w:hAnsi="宋体" w:eastAsia="宋体"/>
        </w:rPr>
        <w:t>2010年</w:t>
      </w:r>
      <w:r>
        <w:rPr>
          <w:rFonts w:hint="eastAsia" w:ascii="宋体" w:hAnsi="宋体" w:eastAsia="宋体"/>
        </w:rPr>
        <w:t>至2</w:t>
      </w:r>
      <w:r>
        <w:rPr>
          <w:rFonts w:ascii="宋体" w:hAnsi="宋体" w:eastAsia="宋体"/>
        </w:rPr>
        <w:t>014</w:t>
      </w:r>
      <w:r>
        <w:rPr>
          <w:rFonts w:hint="eastAsia" w:ascii="宋体" w:hAnsi="宋体" w:eastAsia="宋体"/>
        </w:rPr>
        <w:t>年</w:t>
      </w:r>
      <w:r>
        <w:rPr>
          <w:rFonts w:ascii="宋体" w:hAnsi="宋体" w:eastAsia="宋体"/>
        </w:rPr>
        <w:t>，</w:t>
      </w:r>
      <w:r>
        <w:rPr>
          <w:rFonts w:hint="eastAsia" w:ascii="宋体" w:hAnsi="宋体" w:eastAsia="宋体"/>
        </w:rPr>
        <w:t>某企业伪报货物品名</w:t>
      </w:r>
      <w:r>
        <w:rPr>
          <w:rFonts w:ascii="宋体" w:hAnsi="宋体" w:eastAsia="宋体"/>
        </w:rPr>
        <w:t>向海关报关，利用海关不是每单必查的查验制度，蒙混过关，骗取海关的查验，并在</w:t>
      </w:r>
      <w:r>
        <w:rPr>
          <w:rFonts w:hint="eastAsia" w:ascii="宋体" w:hAnsi="宋体" w:eastAsia="宋体"/>
        </w:rPr>
        <w:t>海关查验后出口结汇，其明知上述出口货物不退税，仍将相关单据及原采购出口货物时取得的完税增值税发票（进项抵扣凭证）提交西湖区国税局申请出口退税，西湖区国税局根据其提供的上述报关单、进项增值税发票、合同等资料共计向被告单位富尔顿公司退税人民币</w:t>
      </w:r>
      <w:r>
        <w:rPr>
          <w:rFonts w:ascii="宋体" w:hAnsi="宋体" w:eastAsia="宋体"/>
        </w:rPr>
        <w:t>1844122.88元。</w:t>
      </w:r>
      <w:r>
        <w:rPr>
          <w:rStyle w:val="15"/>
          <w:rFonts w:ascii="宋体" w:hAnsi="宋体" w:eastAsia="宋体"/>
        </w:rPr>
        <w:footnoteReference w:id="6"/>
      </w:r>
    </w:p>
    <w:p>
      <w:pPr>
        <w:spacing w:after="156" w:afterLines="50" w:line="360" w:lineRule="auto"/>
        <w:ind w:firstLine="420" w:firstLineChars="200"/>
        <w:rPr>
          <w:rFonts w:ascii="宋体" w:hAnsi="宋体" w:eastAsia="宋体"/>
        </w:rPr>
      </w:pPr>
      <w:r>
        <w:rPr>
          <w:rFonts w:hint="eastAsia" w:ascii="宋体" w:hAnsi="宋体" w:eastAsia="宋体"/>
        </w:rPr>
        <w:t>由于该企业在采购出口货物中缴纳过增值税款，其辩护律师提出，该企业所获退税均系其实际缴纳之税款，依据《刑法》第</w:t>
      </w:r>
      <w:r>
        <w:rPr>
          <w:rFonts w:ascii="宋体" w:hAnsi="宋体" w:eastAsia="宋体"/>
        </w:rPr>
        <w:t>204</w:t>
      </w:r>
      <w:r>
        <w:rPr>
          <w:rFonts w:hint="eastAsia" w:ascii="宋体" w:hAnsi="宋体" w:eastAsia="宋体"/>
        </w:rPr>
        <w:t>条第二款，“纳税人缴纳税款后，采取前款规定的欺骗方法，骗取所缴纳的税款的，依照本法第二百零一条的规定定罪处罚……”故该企业行为系逃税行为，不应构成骗取出口退税罪。而杭州中院认为，《刑法》该条规定的“纳税人”有特定限定含义，依据《中华人民共和国增值税暂行条例》（以下称作“《增值税暂行条例》”）第一条之规定“在中华人民共和国境内销售货物或者提供加工、修理修配劳务以及进口货物的单位和个人，为增值税的纳税人，应当依照本条例缴纳增值税。”，即我国国家行政法规已明确规定商品购买者不是该商品的（进项）增值税纳税人，即便该涉案企业曾承担过税款，但法律法规并未规定税款支付人或负担人的概念，故该涉案企业并非法定“纳税人”，无法适用《刑法》第2</w:t>
      </w:r>
      <w:r>
        <w:rPr>
          <w:rFonts w:ascii="宋体" w:hAnsi="宋体" w:eastAsia="宋体"/>
        </w:rPr>
        <w:t>04</w:t>
      </w:r>
      <w:r>
        <w:rPr>
          <w:rFonts w:hint="eastAsia" w:ascii="宋体" w:hAnsi="宋体" w:eastAsia="宋体"/>
        </w:rPr>
        <w:t>条第2款的规定。</w:t>
      </w:r>
    </w:p>
    <w:p>
      <w:pPr>
        <w:spacing w:after="156" w:afterLines="50" w:line="360" w:lineRule="auto"/>
        <w:ind w:firstLine="420" w:firstLineChars="200"/>
        <w:rPr>
          <w:rFonts w:ascii="宋体" w:hAnsi="宋体" w:eastAsia="宋体"/>
        </w:rPr>
      </w:pPr>
      <w:r>
        <w:rPr>
          <w:rFonts w:hint="eastAsia" w:ascii="宋体" w:hAnsi="宋体" w:eastAsia="宋体"/>
        </w:rPr>
        <w:t>《刑法》第2</w:t>
      </w:r>
      <w:r>
        <w:rPr>
          <w:rFonts w:ascii="宋体" w:hAnsi="宋体" w:eastAsia="宋体"/>
        </w:rPr>
        <w:t>04</w:t>
      </w:r>
      <w:r>
        <w:rPr>
          <w:rFonts w:hint="eastAsia" w:ascii="宋体" w:hAnsi="宋体" w:eastAsia="宋体"/>
        </w:rPr>
        <w:t>条第二款全文为 “纳税人缴纳税款后，采取前款规定的欺骗方法，骗取所缴纳的税款的，依照本法第二百零一条的规定定罪处罚；骗取税款超过所缴纳的税款部分，依照前款的规定处罚。”</w:t>
      </w:r>
      <w:r>
        <w:rPr>
          <w:rFonts w:ascii="宋体" w:hAnsi="宋体" w:eastAsia="宋体"/>
        </w:rPr>
        <w:t xml:space="preserve"> </w:t>
      </w:r>
      <w:r>
        <w:rPr>
          <w:rFonts w:hint="eastAsia" w:ascii="宋体" w:hAnsi="宋体" w:eastAsia="宋体"/>
        </w:rPr>
        <w:t>这个条款将逃税罪与骗取出口退税罪相关联，在许多骗取出口退税案件中，行为人、辩护律师均以行为人已经缴纳过税款为由，要求法院适用该条款将行为人定为逃税罪。但是法院采纳类似辩护意见的情况比较少。</w:t>
      </w:r>
    </w:p>
    <w:p>
      <w:pPr>
        <w:spacing w:after="156" w:afterLines="50" w:line="360" w:lineRule="auto"/>
        <w:ind w:firstLine="420" w:firstLineChars="200"/>
        <w:rPr>
          <w:rFonts w:ascii="宋体" w:hAnsi="宋体" w:eastAsia="宋体"/>
        </w:rPr>
      </w:pPr>
      <w:r>
        <w:rPr>
          <w:rFonts w:hint="eastAsia" w:ascii="宋体" w:hAnsi="宋体" w:eastAsia="宋体"/>
        </w:rPr>
        <w:t>为了此条款的准确适用，我们需要先厘清逃税罪与骗取出口退税罪的区别。</w:t>
      </w:r>
    </w:p>
    <w:p>
      <w:pPr>
        <w:spacing w:after="156" w:afterLines="50" w:line="360" w:lineRule="auto"/>
        <w:ind w:firstLine="420" w:firstLineChars="200"/>
        <w:rPr>
          <w:rFonts w:ascii="宋体" w:hAnsi="宋体" w:eastAsia="宋体"/>
          <w:b/>
          <w:bCs/>
        </w:rPr>
      </w:pPr>
      <w:r>
        <w:rPr>
          <w:rFonts w:hint="eastAsia" w:ascii="宋体" w:hAnsi="宋体" w:eastAsia="宋体"/>
        </w:rPr>
        <w:t>虽二罪都是以欺骗的手段达到犯罪目的，但是逃税罪是对纳税事实进行隐瞒或虚构，目的是逃避纳税义务，简单来说就是未缴应缴之税，犯罪客体是税收制度及国家税收。骗取出口退税罪是虚构已缴纳税款事实，目的是骗税——行为人并没有缴税事实，把国家的财产以退税款的名义骗到手，犯罪客体是出口退税制度及国家财产。</w:t>
      </w:r>
      <w:r>
        <w:rPr>
          <w:rFonts w:hint="eastAsia" w:ascii="宋体" w:hAnsi="宋体" w:eastAsia="宋体"/>
          <w:b/>
          <w:bCs/>
        </w:rPr>
        <w:t>用最通俗的话解释：逃税罪是国家没收到应该收的税，骗取出口退税罪是行为人没有缴税，还要把国家的钱骗过来。而两罪的行为主体是否为法定纳税人，并不决定此罪与彼罪。</w:t>
      </w:r>
    </w:p>
    <w:p>
      <w:pPr>
        <w:spacing w:after="156" w:afterLines="50" w:line="360" w:lineRule="auto"/>
        <w:ind w:firstLine="420" w:firstLineChars="200"/>
        <w:rPr>
          <w:rFonts w:ascii="宋体" w:hAnsi="宋体" w:eastAsia="宋体"/>
        </w:rPr>
      </w:pPr>
      <w:r>
        <w:rPr>
          <w:rFonts w:hint="eastAsia" w:ascii="宋体" w:hAnsi="宋体" w:eastAsia="宋体"/>
        </w:rPr>
        <w:t>因此，对于《刑法》第</w:t>
      </w:r>
      <w:r>
        <w:rPr>
          <w:rFonts w:ascii="宋体" w:hAnsi="宋体" w:eastAsia="宋体"/>
        </w:rPr>
        <w:t>204</w:t>
      </w:r>
      <w:r>
        <w:rPr>
          <w:rFonts w:hint="eastAsia" w:ascii="宋体" w:hAnsi="宋体" w:eastAsia="宋体"/>
        </w:rPr>
        <w:t>条第</w:t>
      </w:r>
      <w:r>
        <w:rPr>
          <w:rFonts w:ascii="宋体" w:hAnsi="宋体" w:eastAsia="宋体"/>
        </w:rPr>
        <w:t>2款“纳税人”的理解，不应当囿于</w:t>
      </w:r>
      <w:r>
        <w:rPr>
          <w:rFonts w:hint="eastAsia" w:ascii="宋体" w:hAnsi="宋体" w:eastAsia="宋体"/>
        </w:rPr>
        <w:t>《增值税暂行条例》规定的“在中华人民共和国境内销售货物或者提供加工、修理修配劳务以及进口货物的单位和个人，为增值税的纳税人。”。在实际的贸易流程中，销售方缴纳增值税后，将税负转嫁在货物价值之上，税负的实际承担者是货物的购买者。故只要实际承担了税款，就应被认定为税款缴纳人，即纳税人。若遵循前述案例杭州中院的看法，“只有符合《增值税暂行条例》规定的‘纳税人’定义的主体方可适用《刑法》第</w:t>
      </w:r>
      <w:r>
        <w:rPr>
          <w:rFonts w:ascii="宋体" w:hAnsi="宋体" w:eastAsia="宋体"/>
        </w:rPr>
        <w:t>204</w:t>
      </w:r>
      <w:r>
        <w:rPr>
          <w:rFonts w:hint="eastAsia" w:ascii="宋体" w:hAnsi="宋体" w:eastAsia="宋体"/>
        </w:rPr>
        <w:t>条第</w:t>
      </w:r>
      <w:r>
        <w:rPr>
          <w:rFonts w:ascii="宋体" w:hAnsi="宋体" w:eastAsia="宋体"/>
        </w:rPr>
        <w:t>2款</w:t>
      </w:r>
      <w:r>
        <w:rPr>
          <w:rFonts w:hint="eastAsia" w:ascii="宋体" w:hAnsi="宋体" w:eastAsia="宋体"/>
        </w:rPr>
        <w:t>”，那么该条款便无实际适用场景，法条将被架空。毕竟，出口人的出口行为是不需要缴税的销售行为，“出口人”身份永远不符合《增值税暂行条例》规定的“纳税人”定义，《刑法》第</w:t>
      </w:r>
      <w:r>
        <w:rPr>
          <w:rFonts w:ascii="宋体" w:hAnsi="宋体" w:eastAsia="宋体"/>
        </w:rPr>
        <w:t>204</w:t>
      </w:r>
      <w:r>
        <w:rPr>
          <w:rFonts w:hint="eastAsia" w:ascii="宋体" w:hAnsi="宋体" w:eastAsia="宋体"/>
        </w:rPr>
        <w:t>条第</w:t>
      </w:r>
      <w:r>
        <w:rPr>
          <w:rFonts w:ascii="宋体" w:hAnsi="宋体" w:eastAsia="宋体"/>
        </w:rPr>
        <w:t>2款便永远无法适用</w:t>
      </w:r>
      <w:r>
        <w:rPr>
          <w:rFonts w:hint="eastAsia" w:ascii="宋体" w:hAnsi="宋体" w:eastAsia="宋体"/>
        </w:rPr>
        <w:t>，失去了立法的意义。</w:t>
      </w:r>
    </w:p>
    <w:p>
      <w:pPr>
        <w:spacing w:after="156" w:afterLines="50" w:line="360" w:lineRule="auto"/>
        <w:ind w:firstLine="420" w:firstLineChars="200"/>
        <w:rPr>
          <w:rFonts w:ascii="宋体" w:hAnsi="宋体" w:eastAsia="宋体"/>
        </w:rPr>
      </w:pPr>
      <w:r>
        <w:rPr>
          <w:rFonts w:hint="eastAsia" w:ascii="宋体" w:hAnsi="宋体" w:eastAsia="宋体"/>
        </w:rPr>
        <w:t>综上，案涉企业将黄金加工为音响线申报出口后，将音响线提纯售卖，后又申请出口退税。这其中黄金音响线的出口行为只是为了满足出口退税的目的，根据《关于审理骗取出口退税刑事案件具体应用法律若干问题的解释》第二条第三款的规定是构成骗取出口退税罪的客观要件之一，应当以骗取出口退税罪定罪。</w:t>
      </w:r>
    </w:p>
    <w:p>
      <w:pPr>
        <w:spacing w:after="156" w:afterLines="50" w:line="360" w:lineRule="auto"/>
        <w:ind w:firstLine="420" w:firstLineChars="200"/>
        <w:rPr>
          <w:rFonts w:ascii="宋体" w:hAnsi="宋体" w:eastAsia="宋体"/>
        </w:rPr>
      </w:pPr>
      <w:r>
        <w:rPr>
          <w:rFonts w:hint="eastAsia" w:ascii="宋体" w:hAnsi="宋体" w:eastAsia="宋体"/>
        </w:rPr>
        <w:t>又因骗取出口退税罪与逃税罪的特殊竞合（刑法第2</w:t>
      </w:r>
      <w:r>
        <w:rPr>
          <w:rFonts w:ascii="宋体" w:hAnsi="宋体" w:eastAsia="宋体"/>
        </w:rPr>
        <w:t>04</w:t>
      </w:r>
      <w:r>
        <w:rPr>
          <w:rFonts w:hint="eastAsia" w:ascii="宋体" w:hAnsi="宋体" w:eastAsia="宋体"/>
        </w:rPr>
        <w:t>条第2款），行为人在已缴纳税款的前提下骗取退税的，最终应以逃税罪论处。</w:t>
      </w:r>
    </w:p>
    <w:p>
      <w:pPr>
        <w:spacing w:after="156" w:afterLines="50" w:line="360" w:lineRule="auto"/>
        <w:ind w:firstLine="422" w:firstLineChars="200"/>
        <w:rPr>
          <w:rFonts w:ascii="宋体" w:hAnsi="宋体" w:eastAsia="宋体"/>
          <w:b/>
          <w:bCs/>
        </w:rPr>
      </w:pPr>
      <w:r>
        <w:rPr>
          <w:rFonts w:hint="eastAsia" w:ascii="宋体" w:hAnsi="宋体" w:eastAsia="宋体"/>
          <w:b/>
          <w:bCs/>
        </w:rPr>
        <w:t>五、结语</w:t>
      </w:r>
    </w:p>
    <w:p>
      <w:pPr>
        <w:spacing w:after="156" w:afterLines="50" w:line="360" w:lineRule="auto"/>
        <w:ind w:firstLine="420" w:firstLineChars="200"/>
        <w:rPr>
          <w:rFonts w:hint="eastAsia" w:ascii="宋体" w:hAnsi="宋体" w:eastAsia="宋体"/>
        </w:rPr>
      </w:pPr>
      <w:r>
        <w:rPr>
          <w:rFonts w:hint="eastAsia" w:ascii="宋体" w:hAnsi="宋体" w:eastAsia="宋体"/>
        </w:rPr>
        <w:t>在司法实务中，与本文走私黄金骗取出口退税案具有类似情节的案件有很多，但“同案不同判”的情况却大量存在；笔者详细对比分析了相关案例发现，各判决书有关实行数罪并罚、还是按照牵连犯理论认定为一重罪处罚的说理和分析均不够充分，难以让人心悦诚服。为此，撰写本文希望与理论界和实务界的各位同仁交流观点和意见，以期达到抛砖引玉之效。</w:t>
      </w:r>
    </w:p>
    <w:p>
      <w:pPr>
        <w:spacing w:after="156" w:afterLines="50" w:line="360" w:lineRule="auto"/>
        <w:ind w:firstLine="420" w:firstLineChars="200"/>
        <w:rPr>
          <w:rFonts w:hint="eastAsia" w:ascii="宋体" w:hAnsi="宋体" w:eastAsia="宋体"/>
        </w:rPr>
      </w:pPr>
    </w:p>
    <w:p>
      <w:pPr>
        <w:spacing w:after="156" w:afterLines="50" w:line="360" w:lineRule="auto"/>
        <w:ind w:firstLine="420" w:firstLineChars="200"/>
        <w:rPr>
          <w:rFonts w:hint="eastAsia" w:ascii="宋体" w:hAnsi="宋体" w:eastAsia="宋体"/>
        </w:rPr>
      </w:pPr>
    </w:p>
    <w:p>
      <w:pPr>
        <w:spacing w:after="156" w:afterLines="50" w:line="360" w:lineRule="auto"/>
        <w:ind w:firstLine="420" w:firstLineChars="200"/>
        <w:rPr>
          <w:rFonts w:hint="default" w:ascii="宋体" w:hAnsi="宋体" w:eastAsia="宋体"/>
          <w:lang w:val="en-US" w:eastAsia="zh-CN"/>
        </w:rPr>
      </w:pPr>
      <w:r>
        <w:rPr>
          <w:rFonts w:hint="eastAsia" w:ascii="宋体" w:hAnsi="宋体" w:eastAsia="宋体"/>
          <w:lang w:val="en-US" w:eastAsia="zh-CN"/>
        </w:rPr>
        <w:t>作者：张哲、陈美欣   来源： 2021-05-08  发表于 公众号 观沧海研究院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pPr>
        <w:pStyle w:val="7"/>
        <w:widowControl/>
        <w:shd w:val="clear" w:color="auto" w:fill="FFFFFF"/>
        <w:spacing w:before="150" w:line="260" w:lineRule="atLeast"/>
        <w:ind w:firstLine="420"/>
        <w:rPr>
          <w:rFonts w:ascii="微软雅黑" w:hAnsi="微软雅黑" w:eastAsia="微软雅黑" w:cs="微软雅黑"/>
          <w:sz w:val="16"/>
          <w:szCs w:val="16"/>
        </w:rPr>
      </w:pPr>
      <w:r>
        <w:rPr>
          <w:rStyle w:val="15"/>
        </w:rPr>
        <w:footnoteRef/>
      </w:r>
      <w:r>
        <w:t xml:space="preserve"> </w:t>
      </w:r>
      <w:r>
        <w:rPr>
          <w:rFonts w:hint="eastAsia" w:ascii="微软雅黑" w:hAnsi="微软雅黑" w:eastAsia="微软雅黑" w:cs="微软雅黑"/>
          <w:sz w:val="16"/>
          <w:szCs w:val="16"/>
          <w:shd w:val="clear" w:color="auto" w:fill="FFFFFF"/>
        </w:rPr>
        <w:t>《刑法》第二百零四条以假报出口或者其他欺骗手段，骗取国家出口退税款，数额较大的，处五年以下有期徒刑或者拘役，并处骗取税款一倍以上五倍以下罚金；数额巨大或者有其他严重情节的，处五年以上十年以下有期徒刑，并处骗取税款一倍以上五倍以下罚金；数额特别巨大或者有其他特别严重情节的，处十年以上有期徒刑或者无期徒刑，并处骗取税款一倍以上五倍以下罚金或者没收财产。</w:t>
      </w:r>
    </w:p>
    <w:p>
      <w:pPr>
        <w:pStyle w:val="7"/>
        <w:widowControl/>
        <w:shd w:val="clear" w:color="auto" w:fill="FFFFFF"/>
        <w:spacing w:before="150" w:line="260" w:lineRule="atLeast"/>
        <w:ind w:firstLine="420"/>
        <w:rPr>
          <w:rFonts w:ascii="微软雅黑" w:hAnsi="微软雅黑" w:eastAsia="微软雅黑" w:cs="微软雅黑"/>
          <w:sz w:val="16"/>
          <w:szCs w:val="16"/>
          <w:shd w:val="clear" w:color="auto" w:fill="FFFFFF"/>
        </w:rPr>
      </w:pPr>
      <w:bookmarkStart w:id="2" w:name="No793_B2Z3J6T204K2"/>
      <w:bookmarkEnd w:id="2"/>
      <w:r>
        <w:rPr>
          <w:rFonts w:hint="eastAsia" w:ascii="微软雅黑" w:hAnsi="微软雅黑" w:eastAsia="微软雅黑" w:cs="微软雅黑"/>
          <w:sz w:val="16"/>
          <w:szCs w:val="16"/>
          <w:shd w:val="clear" w:color="auto" w:fill="FFFFFF"/>
        </w:rPr>
        <w:t>纳税人缴纳税款后，采取前款规定的欺骗方法，骗取所缴纳的税款的，依照本法第二百零一条的规定定罪处罚；骗取税款超过所缴纳的税款部分，依照前款的规定处罚。</w:t>
      </w:r>
    </w:p>
  </w:footnote>
  <w:footnote w:id="1">
    <w:p>
      <w:pPr>
        <w:pStyle w:val="6"/>
      </w:pPr>
      <w:r>
        <w:rPr>
          <w:rFonts w:ascii="微软雅黑" w:hAnsi="微软雅黑" w:eastAsia="微软雅黑" w:cs="微软雅黑"/>
          <w:sz w:val="16"/>
          <w:szCs w:val="16"/>
          <w:shd w:val="clear" w:color="auto" w:fill="FFFFFF"/>
        </w:rPr>
        <w:footnoteRef/>
      </w:r>
      <w:r>
        <w:rPr>
          <w:rFonts w:ascii="微软雅黑" w:hAnsi="微软雅黑" w:eastAsia="微软雅黑" w:cs="微软雅黑"/>
          <w:sz w:val="16"/>
          <w:szCs w:val="16"/>
          <w:shd w:val="clear" w:color="auto" w:fill="FFFFFF"/>
        </w:rPr>
        <w:t xml:space="preserve"> </w:t>
      </w:r>
      <w:r>
        <w:rPr>
          <w:rFonts w:hint="eastAsia" w:ascii="微软雅黑" w:hAnsi="微软雅黑" w:eastAsia="微软雅黑" w:cs="微软雅黑"/>
          <w:sz w:val="16"/>
          <w:szCs w:val="16"/>
          <w:shd w:val="clear" w:color="auto" w:fill="FFFFFF"/>
        </w:rPr>
        <w:t>该案例介绍仅依据本案《起诉书》有关观点，并不表示笔者认可该陈述的事实。</w:t>
      </w:r>
    </w:p>
  </w:footnote>
  <w:footnote w:id="2">
    <w:p>
      <w:pPr>
        <w:pStyle w:val="6"/>
      </w:pPr>
      <w:r>
        <w:rPr>
          <w:rStyle w:val="15"/>
        </w:rPr>
        <w:footnoteRef/>
      </w:r>
      <w:r>
        <w:t xml:space="preserve"> 2000年7月28日</w:t>
      </w:r>
      <w:r>
        <w:rPr>
          <w:rFonts w:hint="eastAsia"/>
        </w:rPr>
        <w:t>，财政部、国家税务总局、中国人民银行发布《</w:t>
      </w:r>
      <w:r>
        <w:t>关于配售出口黄金有关税收规定的通知</w:t>
      </w:r>
      <w:r>
        <w:rPr>
          <w:rFonts w:hint="eastAsia"/>
        </w:rPr>
        <w:t>》（</w:t>
      </w:r>
      <w:r>
        <w:t>财税[2000]3号</w:t>
      </w:r>
      <w:r>
        <w:rPr>
          <w:rFonts w:hint="eastAsia"/>
        </w:rPr>
        <w:t>）</w:t>
      </w:r>
    </w:p>
  </w:footnote>
  <w:footnote w:id="3">
    <w:p>
      <w:pPr>
        <w:pStyle w:val="6"/>
      </w:pPr>
      <w:r>
        <w:rPr>
          <w:rStyle w:val="15"/>
        </w:rPr>
        <w:footnoteRef/>
      </w:r>
      <w:r>
        <w:t xml:space="preserve"> </w:t>
      </w:r>
      <w:r>
        <w:rPr>
          <w:rFonts w:hint="eastAsia"/>
        </w:rPr>
        <w:t>根据上海黄金交易所发布的《关于增值税税率调整期间黄金及铂金品种专用发票开具工作安排的通知》可知，2</w:t>
      </w:r>
      <w:r>
        <w:t>018</w:t>
      </w:r>
      <w:r>
        <w:rPr>
          <w:rFonts w:hint="eastAsia"/>
        </w:rPr>
        <w:t>年5月1日前黄金的增值税率为1</w:t>
      </w:r>
      <w:r>
        <w:t>7</w:t>
      </w:r>
      <w:r>
        <w:rPr>
          <w:rFonts w:hint="eastAsia"/>
        </w:rPr>
        <w:t>%，之后的增值税率为1</w:t>
      </w:r>
      <w:r>
        <w:t>6</w:t>
      </w:r>
      <w:r>
        <w:rPr>
          <w:rFonts w:hint="eastAsia"/>
        </w:rPr>
        <w:t>%，由于案例行为人自2</w:t>
      </w:r>
      <w:r>
        <w:t>017</w:t>
      </w:r>
      <w:r>
        <w:rPr>
          <w:rFonts w:hint="eastAsia"/>
        </w:rPr>
        <w:t>年开始购买黄金，故此处以1</w:t>
      </w:r>
      <w:r>
        <w:t>7</w:t>
      </w:r>
      <w:r>
        <w:rPr>
          <w:rFonts w:hint="eastAsia"/>
        </w:rPr>
        <w:t>%作为增值税率。</w:t>
      </w:r>
    </w:p>
  </w:footnote>
  <w:footnote w:id="4">
    <w:p>
      <w:pPr>
        <w:pStyle w:val="6"/>
      </w:pPr>
      <w:r>
        <w:rPr>
          <w:rStyle w:val="15"/>
        </w:rPr>
        <w:footnoteRef/>
      </w:r>
      <w:r>
        <w:t xml:space="preserve"> </w:t>
      </w:r>
      <w:r>
        <w:rPr>
          <w:rFonts w:hint="eastAsia"/>
        </w:rPr>
        <w:t>《关于审理骗取出口退税刑事案件具体应用法律若干问题的解释》第二条 具有下列情形之一的，应当认定为刑法第二百零四条规定的“其他欺骗手段”：</w:t>
      </w:r>
    </w:p>
    <w:p>
      <w:pPr>
        <w:pStyle w:val="6"/>
      </w:pPr>
      <w:r>
        <w:rPr>
          <w:rFonts w:hint="eastAsia"/>
        </w:rPr>
        <w:t>（一）骗取出口货物退税资格的；</w:t>
      </w:r>
    </w:p>
    <w:p>
      <w:pPr>
        <w:pStyle w:val="6"/>
      </w:pPr>
      <w:r>
        <w:rPr>
          <w:rFonts w:hint="eastAsia"/>
        </w:rPr>
        <w:t>（二）将未纳税或者免税货物作为已税货物出口的；</w:t>
      </w:r>
    </w:p>
    <w:p>
      <w:pPr>
        <w:pStyle w:val="6"/>
      </w:pPr>
      <w:r>
        <w:rPr>
          <w:rFonts w:hint="eastAsia"/>
        </w:rPr>
        <w:t>（三）虽有货物出口，但虚构该出口货物的品名、数量、单价等要素，骗取未实际纳税部分出口退税款的；</w:t>
      </w:r>
    </w:p>
    <w:p>
      <w:pPr>
        <w:pStyle w:val="6"/>
      </w:pPr>
      <w:r>
        <w:rPr>
          <w:rFonts w:hint="eastAsia"/>
        </w:rPr>
        <w:t>（四）以其他手段骗取出口退税款的。</w:t>
      </w:r>
    </w:p>
  </w:footnote>
  <w:footnote w:id="5">
    <w:p>
      <w:pPr>
        <w:pStyle w:val="6"/>
      </w:pPr>
      <w:r>
        <w:rPr>
          <w:rStyle w:val="15"/>
        </w:rPr>
        <w:footnoteRef/>
      </w:r>
      <w:r>
        <w:t xml:space="preserve"> </w:t>
      </w:r>
      <w:r>
        <w:rPr>
          <w:rFonts w:hint="eastAsia"/>
        </w:rPr>
        <w:t>张明楷，刑法学，法律出版社，2</w:t>
      </w:r>
      <w:r>
        <w:t>011</w:t>
      </w:r>
      <w:r>
        <w:rPr>
          <w:rFonts w:hint="eastAsia"/>
        </w:rPr>
        <w:t>年版，第7</w:t>
      </w:r>
      <w:r>
        <w:t>25</w:t>
      </w:r>
      <w:r>
        <w:rPr>
          <w:rFonts w:hint="eastAsia"/>
        </w:rPr>
        <w:t>页。</w:t>
      </w:r>
    </w:p>
  </w:footnote>
  <w:footnote w:id="6">
    <w:p>
      <w:pPr>
        <w:pStyle w:val="6"/>
      </w:pPr>
      <w:r>
        <w:rPr>
          <w:rStyle w:val="15"/>
        </w:rPr>
        <w:footnoteRef/>
      </w:r>
      <w:r>
        <w:t xml:space="preserve"> </w:t>
      </w:r>
      <w:r>
        <w:rPr>
          <w:rFonts w:hint="eastAsia"/>
        </w:rPr>
        <w:t>浙江省杭州市中级人民法院，</w:t>
      </w:r>
      <w:r>
        <w:tab/>
      </w:r>
      <w:r>
        <w:t>(2015)浙杭刑终字第1130号</w:t>
      </w:r>
      <w:r>
        <w:rPr>
          <w:rFonts w:hint="eastAsia"/>
        </w:rPr>
        <w:t>刑事裁定书。</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14"/>
    <w:footnote w:id="15"/>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hjOWRmMDY0ZWZiMzNiMTk4NWM4N2IxYmI0NzQzYjIifQ=="/>
  </w:docVars>
  <w:rsids>
    <w:rsidRoot w:val="00D44E5C"/>
    <w:rsid w:val="000020E3"/>
    <w:rsid w:val="000025BC"/>
    <w:rsid w:val="00003D9F"/>
    <w:rsid w:val="00005A43"/>
    <w:rsid w:val="00012E9F"/>
    <w:rsid w:val="000133D1"/>
    <w:rsid w:val="00020018"/>
    <w:rsid w:val="00021082"/>
    <w:rsid w:val="00024485"/>
    <w:rsid w:val="00034EA5"/>
    <w:rsid w:val="000378D9"/>
    <w:rsid w:val="00040B06"/>
    <w:rsid w:val="00043619"/>
    <w:rsid w:val="00052D1E"/>
    <w:rsid w:val="000575B0"/>
    <w:rsid w:val="00064866"/>
    <w:rsid w:val="0006607B"/>
    <w:rsid w:val="0006761A"/>
    <w:rsid w:val="000722F1"/>
    <w:rsid w:val="000736EF"/>
    <w:rsid w:val="00077419"/>
    <w:rsid w:val="00086EE3"/>
    <w:rsid w:val="000A3AB7"/>
    <w:rsid w:val="000A58FD"/>
    <w:rsid w:val="000A722F"/>
    <w:rsid w:val="000B0613"/>
    <w:rsid w:val="000B0EB7"/>
    <w:rsid w:val="000B1A16"/>
    <w:rsid w:val="000B1B38"/>
    <w:rsid w:val="000B2A8D"/>
    <w:rsid w:val="000B3D82"/>
    <w:rsid w:val="000B565C"/>
    <w:rsid w:val="000B56BE"/>
    <w:rsid w:val="000C4445"/>
    <w:rsid w:val="000C7616"/>
    <w:rsid w:val="000D1022"/>
    <w:rsid w:val="000D2FBC"/>
    <w:rsid w:val="000D3548"/>
    <w:rsid w:val="000E4A4F"/>
    <w:rsid w:val="000E733B"/>
    <w:rsid w:val="000F0372"/>
    <w:rsid w:val="000F03E5"/>
    <w:rsid w:val="000F0595"/>
    <w:rsid w:val="000F32C9"/>
    <w:rsid w:val="000F62E2"/>
    <w:rsid w:val="00100A2F"/>
    <w:rsid w:val="00100E53"/>
    <w:rsid w:val="001014C8"/>
    <w:rsid w:val="001016F5"/>
    <w:rsid w:val="00102603"/>
    <w:rsid w:val="00104912"/>
    <w:rsid w:val="001050EA"/>
    <w:rsid w:val="00110128"/>
    <w:rsid w:val="0011082E"/>
    <w:rsid w:val="00114DB6"/>
    <w:rsid w:val="00116DFB"/>
    <w:rsid w:val="00120096"/>
    <w:rsid w:val="00124973"/>
    <w:rsid w:val="0013197B"/>
    <w:rsid w:val="00134984"/>
    <w:rsid w:val="00134E71"/>
    <w:rsid w:val="00135CAF"/>
    <w:rsid w:val="0013668E"/>
    <w:rsid w:val="00137731"/>
    <w:rsid w:val="00140653"/>
    <w:rsid w:val="00151CC9"/>
    <w:rsid w:val="00164185"/>
    <w:rsid w:val="001658E6"/>
    <w:rsid w:val="00166721"/>
    <w:rsid w:val="00166F12"/>
    <w:rsid w:val="00171D19"/>
    <w:rsid w:val="001740B2"/>
    <w:rsid w:val="001748F1"/>
    <w:rsid w:val="001763CA"/>
    <w:rsid w:val="001771F6"/>
    <w:rsid w:val="001773C2"/>
    <w:rsid w:val="0018535B"/>
    <w:rsid w:val="001870CD"/>
    <w:rsid w:val="00187F0A"/>
    <w:rsid w:val="001910FA"/>
    <w:rsid w:val="00191330"/>
    <w:rsid w:val="001965BF"/>
    <w:rsid w:val="001A2F7F"/>
    <w:rsid w:val="001A6249"/>
    <w:rsid w:val="001B0469"/>
    <w:rsid w:val="001B45F6"/>
    <w:rsid w:val="001C13DC"/>
    <w:rsid w:val="001C2C71"/>
    <w:rsid w:val="001D20F6"/>
    <w:rsid w:val="001D3441"/>
    <w:rsid w:val="001D7057"/>
    <w:rsid w:val="001E1B49"/>
    <w:rsid w:val="001E27E2"/>
    <w:rsid w:val="001E6286"/>
    <w:rsid w:val="001E7445"/>
    <w:rsid w:val="001F0425"/>
    <w:rsid w:val="001F2D66"/>
    <w:rsid w:val="001F7985"/>
    <w:rsid w:val="0020068B"/>
    <w:rsid w:val="00207707"/>
    <w:rsid w:val="00207C3F"/>
    <w:rsid w:val="00212FD0"/>
    <w:rsid w:val="00215270"/>
    <w:rsid w:val="00222A42"/>
    <w:rsid w:val="00223BB3"/>
    <w:rsid w:val="00223EA5"/>
    <w:rsid w:val="002310E9"/>
    <w:rsid w:val="00232C7B"/>
    <w:rsid w:val="00233A47"/>
    <w:rsid w:val="00233E99"/>
    <w:rsid w:val="00234CED"/>
    <w:rsid w:val="00235D44"/>
    <w:rsid w:val="0024087E"/>
    <w:rsid w:val="00240EA1"/>
    <w:rsid w:val="00246845"/>
    <w:rsid w:val="00250F1F"/>
    <w:rsid w:val="00251CE4"/>
    <w:rsid w:val="00254D56"/>
    <w:rsid w:val="002561F6"/>
    <w:rsid w:val="00257C54"/>
    <w:rsid w:val="002606C8"/>
    <w:rsid w:val="00261953"/>
    <w:rsid w:val="002648A1"/>
    <w:rsid w:val="00266077"/>
    <w:rsid w:val="0027144B"/>
    <w:rsid w:val="00274D06"/>
    <w:rsid w:val="00275DBA"/>
    <w:rsid w:val="0027624B"/>
    <w:rsid w:val="00283727"/>
    <w:rsid w:val="0028446F"/>
    <w:rsid w:val="00291C82"/>
    <w:rsid w:val="0029298A"/>
    <w:rsid w:val="002937CE"/>
    <w:rsid w:val="0029401B"/>
    <w:rsid w:val="002974EC"/>
    <w:rsid w:val="002A4D46"/>
    <w:rsid w:val="002A5442"/>
    <w:rsid w:val="002A5E93"/>
    <w:rsid w:val="002A6C97"/>
    <w:rsid w:val="002A6ECB"/>
    <w:rsid w:val="002B191A"/>
    <w:rsid w:val="002B2EBE"/>
    <w:rsid w:val="002B3DCF"/>
    <w:rsid w:val="002B5C64"/>
    <w:rsid w:val="002B5E8D"/>
    <w:rsid w:val="002B5F68"/>
    <w:rsid w:val="002C07EC"/>
    <w:rsid w:val="002C1286"/>
    <w:rsid w:val="002C2963"/>
    <w:rsid w:val="002C2BB3"/>
    <w:rsid w:val="002C715A"/>
    <w:rsid w:val="002C7E66"/>
    <w:rsid w:val="002D0353"/>
    <w:rsid w:val="002D2BB9"/>
    <w:rsid w:val="002D4FF2"/>
    <w:rsid w:val="002D664D"/>
    <w:rsid w:val="002D7EAC"/>
    <w:rsid w:val="002E7935"/>
    <w:rsid w:val="002F1471"/>
    <w:rsid w:val="002F2B18"/>
    <w:rsid w:val="002F4A1E"/>
    <w:rsid w:val="003007ED"/>
    <w:rsid w:val="00302454"/>
    <w:rsid w:val="00305F0C"/>
    <w:rsid w:val="003062A1"/>
    <w:rsid w:val="0030652D"/>
    <w:rsid w:val="003069E6"/>
    <w:rsid w:val="0030765A"/>
    <w:rsid w:val="00307729"/>
    <w:rsid w:val="00307DD0"/>
    <w:rsid w:val="00312B99"/>
    <w:rsid w:val="00315C7B"/>
    <w:rsid w:val="003160E8"/>
    <w:rsid w:val="00321F7E"/>
    <w:rsid w:val="00324516"/>
    <w:rsid w:val="003248AD"/>
    <w:rsid w:val="00335103"/>
    <w:rsid w:val="003441AC"/>
    <w:rsid w:val="0034487C"/>
    <w:rsid w:val="00346121"/>
    <w:rsid w:val="0034725C"/>
    <w:rsid w:val="00347A45"/>
    <w:rsid w:val="0035264B"/>
    <w:rsid w:val="003563CA"/>
    <w:rsid w:val="00357A3D"/>
    <w:rsid w:val="00362B5B"/>
    <w:rsid w:val="00364CB8"/>
    <w:rsid w:val="003662F2"/>
    <w:rsid w:val="00367545"/>
    <w:rsid w:val="00367705"/>
    <w:rsid w:val="0038008C"/>
    <w:rsid w:val="00383D38"/>
    <w:rsid w:val="00384C48"/>
    <w:rsid w:val="003903C8"/>
    <w:rsid w:val="00393107"/>
    <w:rsid w:val="003933AC"/>
    <w:rsid w:val="00396198"/>
    <w:rsid w:val="00396335"/>
    <w:rsid w:val="003A2A09"/>
    <w:rsid w:val="003A54F5"/>
    <w:rsid w:val="003B03E1"/>
    <w:rsid w:val="003B081A"/>
    <w:rsid w:val="003B10FB"/>
    <w:rsid w:val="003B14DE"/>
    <w:rsid w:val="003B5EF2"/>
    <w:rsid w:val="003B7107"/>
    <w:rsid w:val="003B7388"/>
    <w:rsid w:val="003C0F98"/>
    <w:rsid w:val="003C4AF4"/>
    <w:rsid w:val="003D14D4"/>
    <w:rsid w:val="003D1F89"/>
    <w:rsid w:val="003D31A3"/>
    <w:rsid w:val="003D35E8"/>
    <w:rsid w:val="003D6144"/>
    <w:rsid w:val="003D6264"/>
    <w:rsid w:val="003E325A"/>
    <w:rsid w:val="003E33A2"/>
    <w:rsid w:val="003E6AB8"/>
    <w:rsid w:val="003F0865"/>
    <w:rsid w:val="003F3768"/>
    <w:rsid w:val="004223C0"/>
    <w:rsid w:val="0042299E"/>
    <w:rsid w:val="00424CF4"/>
    <w:rsid w:val="00427EB4"/>
    <w:rsid w:val="00432785"/>
    <w:rsid w:val="00443734"/>
    <w:rsid w:val="00444600"/>
    <w:rsid w:val="00453C3C"/>
    <w:rsid w:val="00455444"/>
    <w:rsid w:val="00461632"/>
    <w:rsid w:val="004622CA"/>
    <w:rsid w:val="0046546E"/>
    <w:rsid w:val="00466765"/>
    <w:rsid w:val="00474FBA"/>
    <w:rsid w:val="00485850"/>
    <w:rsid w:val="0049587E"/>
    <w:rsid w:val="00497E55"/>
    <w:rsid w:val="004A3024"/>
    <w:rsid w:val="004A4999"/>
    <w:rsid w:val="004A6345"/>
    <w:rsid w:val="004A7997"/>
    <w:rsid w:val="004B1D8F"/>
    <w:rsid w:val="004C00AD"/>
    <w:rsid w:val="004C3BB3"/>
    <w:rsid w:val="004C4292"/>
    <w:rsid w:val="004C6482"/>
    <w:rsid w:val="004C7E27"/>
    <w:rsid w:val="004D3EEE"/>
    <w:rsid w:val="004D592D"/>
    <w:rsid w:val="004D7B3F"/>
    <w:rsid w:val="004E025E"/>
    <w:rsid w:val="004E0731"/>
    <w:rsid w:val="004E0893"/>
    <w:rsid w:val="004E1948"/>
    <w:rsid w:val="004E3975"/>
    <w:rsid w:val="004E7594"/>
    <w:rsid w:val="004F0E57"/>
    <w:rsid w:val="004F4243"/>
    <w:rsid w:val="004F524E"/>
    <w:rsid w:val="00502DF8"/>
    <w:rsid w:val="0050304A"/>
    <w:rsid w:val="00503544"/>
    <w:rsid w:val="00503577"/>
    <w:rsid w:val="00504F84"/>
    <w:rsid w:val="0051180F"/>
    <w:rsid w:val="00511C5B"/>
    <w:rsid w:val="0051319E"/>
    <w:rsid w:val="00516AC4"/>
    <w:rsid w:val="00516B43"/>
    <w:rsid w:val="00521304"/>
    <w:rsid w:val="00522E8F"/>
    <w:rsid w:val="00527E59"/>
    <w:rsid w:val="005302D2"/>
    <w:rsid w:val="00530807"/>
    <w:rsid w:val="00530A94"/>
    <w:rsid w:val="005314EE"/>
    <w:rsid w:val="005332CE"/>
    <w:rsid w:val="005332ED"/>
    <w:rsid w:val="00537C39"/>
    <w:rsid w:val="005413E6"/>
    <w:rsid w:val="00543E81"/>
    <w:rsid w:val="005447B7"/>
    <w:rsid w:val="00544F92"/>
    <w:rsid w:val="00552E98"/>
    <w:rsid w:val="00552FB4"/>
    <w:rsid w:val="00553BFA"/>
    <w:rsid w:val="00560073"/>
    <w:rsid w:val="005606B5"/>
    <w:rsid w:val="00560B49"/>
    <w:rsid w:val="0056164B"/>
    <w:rsid w:val="00563DCF"/>
    <w:rsid w:val="005642C5"/>
    <w:rsid w:val="005658E6"/>
    <w:rsid w:val="00566ED7"/>
    <w:rsid w:val="00572DF4"/>
    <w:rsid w:val="00572DF6"/>
    <w:rsid w:val="0057339E"/>
    <w:rsid w:val="00574592"/>
    <w:rsid w:val="00581DF9"/>
    <w:rsid w:val="00585E5A"/>
    <w:rsid w:val="00586F5E"/>
    <w:rsid w:val="00587C26"/>
    <w:rsid w:val="00594567"/>
    <w:rsid w:val="00595A2E"/>
    <w:rsid w:val="00597551"/>
    <w:rsid w:val="005A07D0"/>
    <w:rsid w:val="005A1981"/>
    <w:rsid w:val="005A347A"/>
    <w:rsid w:val="005A4FC9"/>
    <w:rsid w:val="005B20F7"/>
    <w:rsid w:val="005B5FB4"/>
    <w:rsid w:val="005B74C6"/>
    <w:rsid w:val="005B78E4"/>
    <w:rsid w:val="005C1AB8"/>
    <w:rsid w:val="005C2382"/>
    <w:rsid w:val="005C5E79"/>
    <w:rsid w:val="005D282A"/>
    <w:rsid w:val="005D3C69"/>
    <w:rsid w:val="005D64B7"/>
    <w:rsid w:val="005D6886"/>
    <w:rsid w:val="005E0592"/>
    <w:rsid w:val="005E4D1E"/>
    <w:rsid w:val="005E7A6F"/>
    <w:rsid w:val="005F062F"/>
    <w:rsid w:val="005F7BE6"/>
    <w:rsid w:val="005F7CAE"/>
    <w:rsid w:val="006012D1"/>
    <w:rsid w:val="00605761"/>
    <w:rsid w:val="00606E4D"/>
    <w:rsid w:val="00621005"/>
    <w:rsid w:val="00622D4F"/>
    <w:rsid w:val="00623750"/>
    <w:rsid w:val="00624BC5"/>
    <w:rsid w:val="006314D8"/>
    <w:rsid w:val="0063733F"/>
    <w:rsid w:val="0064523B"/>
    <w:rsid w:val="006461EA"/>
    <w:rsid w:val="00647C9E"/>
    <w:rsid w:val="006502F6"/>
    <w:rsid w:val="006555D8"/>
    <w:rsid w:val="00660CE9"/>
    <w:rsid w:val="00663B48"/>
    <w:rsid w:val="0066735C"/>
    <w:rsid w:val="00667F5F"/>
    <w:rsid w:val="0067093F"/>
    <w:rsid w:val="006709A9"/>
    <w:rsid w:val="00676E23"/>
    <w:rsid w:val="00677520"/>
    <w:rsid w:val="006776FC"/>
    <w:rsid w:val="00680447"/>
    <w:rsid w:val="006806E1"/>
    <w:rsid w:val="00680EBC"/>
    <w:rsid w:val="00686EE2"/>
    <w:rsid w:val="00691A25"/>
    <w:rsid w:val="006931D2"/>
    <w:rsid w:val="0069476E"/>
    <w:rsid w:val="00695364"/>
    <w:rsid w:val="006A10C2"/>
    <w:rsid w:val="006A1A7C"/>
    <w:rsid w:val="006A3EEF"/>
    <w:rsid w:val="006A59EF"/>
    <w:rsid w:val="006A71D7"/>
    <w:rsid w:val="006B13E7"/>
    <w:rsid w:val="006B20E8"/>
    <w:rsid w:val="006B2FA1"/>
    <w:rsid w:val="006B401E"/>
    <w:rsid w:val="006B501F"/>
    <w:rsid w:val="006B64BB"/>
    <w:rsid w:val="006B703E"/>
    <w:rsid w:val="006C105C"/>
    <w:rsid w:val="006C6ABE"/>
    <w:rsid w:val="006C6FE3"/>
    <w:rsid w:val="006D1153"/>
    <w:rsid w:val="006D66AC"/>
    <w:rsid w:val="006D7878"/>
    <w:rsid w:val="006E114D"/>
    <w:rsid w:val="006E30B8"/>
    <w:rsid w:val="006F1030"/>
    <w:rsid w:val="006F2E7C"/>
    <w:rsid w:val="00700E3A"/>
    <w:rsid w:val="0070323E"/>
    <w:rsid w:val="007072B1"/>
    <w:rsid w:val="00710459"/>
    <w:rsid w:val="00711559"/>
    <w:rsid w:val="0071683F"/>
    <w:rsid w:val="007203A3"/>
    <w:rsid w:val="00720F88"/>
    <w:rsid w:val="00722011"/>
    <w:rsid w:val="00724139"/>
    <w:rsid w:val="00724144"/>
    <w:rsid w:val="007255EF"/>
    <w:rsid w:val="00727C76"/>
    <w:rsid w:val="007307F8"/>
    <w:rsid w:val="00730A38"/>
    <w:rsid w:val="00731F4D"/>
    <w:rsid w:val="00747528"/>
    <w:rsid w:val="00753556"/>
    <w:rsid w:val="007639DC"/>
    <w:rsid w:val="00765494"/>
    <w:rsid w:val="00766879"/>
    <w:rsid w:val="00766D19"/>
    <w:rsid w:val="00774A83"/>
    <w:rsid w:val="007756EF"/>
    <w:rsid w:val="007772B6"/>
    <w:rsid w:val="00780650"/>
    <w:rsid w:val="00781378"/>
    <w:rsid w:val="00786AC1"/>
    <w:rsid w:val="007965B8"/>
    <w:rsid w:val="007B10A8"/>
    <w:rsid w:val="007B5402"/>
    <w:rsid w:val="007C2C82"/>
    <w:rsid w:val="007C2CD9"/>
    <w:rsid w:val="007D1130"/>
    <w:rsid w:val="007D275E"/>
    <w:rsid w:val="007D3F4F"/>
    <w:rsid w:val="007D7C1E"/>
    <w:rsid w:val="007E20D4"/>
    <w:rsid w:val="007E3200"/>
    <w:rsid w:val="007E4BF4"/>
    <w:rsid w:val="007E6B83"/>
    <w:rsid w:val="007F03CA"/>
    <w:rsid w:val="007F24E1"/>
    <w:rsid w:val="007F6C23"/>
    <w:rsid w:val="00801B7B"/>
    <w:rsid w:val="00802B5F"/>
    <w:rsid w:val="008039AE"/>
    <w:rsid w:val="00806A47"/>
    <w:rsid w:val="00810956"/>
    <w:rsid w:val="0081283B"/>
    <w:rsid w:val="00812EA3"/>
    <w:rsid w:val="008154D8"/>
    <w:rsid w:val="00817576"/>
    <w:rsid w:val="00821F99"/>
    <w:rsid w:val="00826808"/>
    <w:rsid w:val="008303EE"/>
    <w:rsid w:val="008329DC"/>
    <w:rsid w:val="008349B2"/>
    <w:rsid w:val="00837249"/>
    <w:rsid w:val="008405CB"/>
    <w:rsid w:val="008448E7"/>
    <w:rsid w:val="00844E49"/>
    <w:rsid w:val="00845C45"/>
    <w:rsid w:val="00850FEF"/>
    <w:rsid w:val="0086034A"/>
    <w:rsid w:val="00862041"/>
    <w:rsid w:val="008702D1"/>
    <w:rsid w:val="00870828"/>
    <w:rsid w:val="008732AC"/>
    <w:rsid w:val="008806D8"/>
    <w:rsid w:val="008813A5"/>
    <w:rsid w:val="008813E0"/>
    <w:rsid w:val="008820DF"/>
    <w:rsid w:val="00883CA5"/>
    <w:rsid w:val="008A0F2D"/>
    <w:rsid w:val="008A10D8"/>
    <w:rsid w:val="008A2A93"/>
    <w:rsid w:val="008A6BD0"/>
    <w:rsid w:val="008B01A8"/>
    <w:rsid w:val="008B0FCE"/>
    <w:rsid w:val="008B25C5"/>
    <w:rsid w:val="008B5E1A"/>
    <w:rsid w:val="008C3113"/>
    <w:rsid w:val="008C4E15"/>
    <w:rsid w:val="008C5493"/>
    <w:rsid w:val="008C6D91"/>
    <w:rsid w:val="008D18F6"/>
    <w:rsid w:val="008D1EDB"/>
    <w:rsid w:val="008D26B2"/>
    <w:rsid w:val="008D4661"/>
    <w:rsid w:val="008E3DD3"/>
    <w:rsid w:val="008F3B15"/>
    <w:rsid w:val="008F59D4"/>
    <w:rsid w:val="008F63E0"/>
    <w:rsid w:val="00900678"/>
    <w:rsid w:val="00900AD7"/>
    <w:rsid w:val="009015D4"/>
    <w:rsid w:val="009101DD"/>
    <w:rsid w:val="00911586"/>
    <w:rsid w:val="00921DD4"/>
    <w:rsid w:val="00922299"/>
    <w:rsid w:val="00925417"/>
    <w:rsid w:val="0092634B"/>
    <w:rsid w:val="0093111A"/>
    <w:rsid w:val="00931470"/>
    <w:rsid w:val="0093166F"/>
    <w:rsid w:val="0093196A"/>
    <w:rsid w:val="00931D2C"/>
    <w:rsid w:val="009368D9"/>
    <w:rsid w:val="00941F11"/>
    <w:rsid w:val="009429F3"/>
    <w:rsid w:val="0094374B"/>
    <w:rsid w:val="00943EA3"/>
    <w:rsid w:val="00944CAF"/>
    <w:rsid w:val="00951807"/>
    <w:rsid w:val="0095652C"/>
    <w:rsid w:val="00961938"/>
    <w:rsid w:val="00966220"/>
    <w:rsid w:val="00970BE9"/>
    <w:rsid w:val="00970FE0"/>
    <w:rsid w:val="0097233F"/>
    <w:rsid w:val="0097308C"/>
    <w:rsid w:val="00973C3C"/>
    <w:rsid w:val="0098676B"/>
    <w:rsid w:val="0098777D"/>
    <w:rsid w:val="009915EE"/>
    <w:rsid w:val="00992852"/>
    <w:rsid w:val="009946EC"/>
    <w:rsid w:val="0099582E"/>
    <w:rsid w:val="009A6BE9"/>
    <w:rsid w:val="009A773C"/>
    <w:rsid w:val="009B1F94"/>
    <w:rsid w:val="009B44AC"/>
    <w:rsid w:val="009B4B0C"/>
    <w:rsid w:val="009C174F"/>
    <w:rsid w:val="009C17CE"/>
    <w:rsid w:val="009C2399"/>
    <w:rsid w:val="009C332A"/>
    <w:rsid w:val="009C349D"/>
    <w:rsid w:val="009C6E7B"/>
    <w:rsid w:val="009C6F85"/>
    <w:rsid w:val="009D083B"/>
    <w:rsid w:val="009D138C"/>
    <w:rsid w:val="009D19D2"/>
    <w:rsid w:val="009D273B"/>
    <w:rsid w:val="009D7CC1"/>
    <w:rsid w:val="009E56DA"/>
    <w:rsid w:val="009E7B27"/>
    <w:rsid w:val="009F1E1F"/>
    <w:rsid w:val="009F1F89"/>
    <w:rsid w:val="009F20B4"/>
    <w:rsid w:val="009F38C7"/>
    <w:rsid w:val="009F6974"/>
    <w:rsid w:val="009F7C57"/>
    <w:rsid w:val="00A03FF7"/>
    <w:rsid w:val="00A07829"/>
    <w:rsid w:val="00A1518F"/>
    <w:rsid w:val="00A225EA"/>
    <w:rsid w:val="00A316A3"/>
    <w:rsid w:val="00A341F3"/>
    <w:rsid w:val="00A34370"/>
    <w:rsid w:val="00A40131"/>
    <w:rsid w:val="00A454A0"/>
    <w:rsid w:val="00A472F8"/>
    <w:rsid w:val="00A5561B"/>
    <w:rsid w:val="00A578E5"/>
    <w:rsid w:val="00A60067"/>
    <w:rsid w:val="00A632B2"/>
    <w:rsid w:val="00A65AD7"/>
    <w:rsid w:val="00A712C6"/>
    <w:rsid w:val="00A720B8"/>
    <w:rsid w:val="00A72141"/>
    <w:rsid w:val="00A73EFC"/>
    <w:rsid w:val="00A76467"/>
    <w:rsid w:val="00A76B76"/>
    <w:rsid w:val="00A77CAA"/>
    <w:rsid w:val="00A8430E"/>
    <w:rsid w:val="00A856C8"/>
    <w:rsid w:val="00A87A83"/>
    <w:rsid w:val="00A87E49"/>
    <w:rsid w:val="00A903FF"/>
    <w:rsid w:val="00A90BAB"/>
    <w:rsid w:val="00A9197B"/>
    <w:rsid w:val="00A9585A"/>
    <w:rsid w:val="00A96741"/>
    <w:rsid w:val="00A96D27"/>
    <w:rsid w:val="00A96ED6"/>
    <w:rsid w:val="00AA0209"/>
    <w:rsid w:val="00AA0DB4"/>
    <w:rsid w:val="00AA0F6A"/>
    <w:rsid w:val="00AA49AD"/>
    <w:rsid w:val="00AA6193"/>
    <w:rsid w:val="00AB7C48"/>
    <w:rsid w:val="00AC0E7A"/>
    <w:rsid w:val="00AC1199"/>
    <w:rsid w:val="00AC1212"/>
    <w:rsid w:val="00AC16D1"/>
    <w:rsid w:val="00AD497A"/>
    <w:rsid w:val="00AD59BB"/>
    <w:rsid w:val="00AD7E9D"/>
    <w:rsid w:val="00AE056E"/>
    <w:rsid w:val="00AE2A20"/>
    <w:rsid w:val="00AE3B36"/>
    <w:rsid w:val="00AE5987"/>
    <w:rsid w:val="00AE6A3D"/>
    <w:rsid w:val="00AE6F59"/>
    <w:rsid w:val="00AE7369"/>
    <w:rsid w:val="00AF2440"/>
    <w:rsid w:val="00AF50FE"/>
    <w:rsid w:val="00B003B4"/>
    <w:rsid w:val="00B03CAD"/>
    <w:rsid w:val="00B111FF"/>
    <w:rsid w:val="00B148DF"/>
    <w:rsid w:val="00B15559"/>
    <w:rsid w:val="00B21938"/>
    <w:rsid w:val="00B22A4A"/>
    <w:rsid w:val="00B22E0E"/>
    <w:rsid w:val="00B236A4"/>
    <w:rsid w:val="00B256EF"/>
    <w:rsid w:val="00B30BD1"/>
    <w:rsid w:val="00B31B13"/>
    <w:rsid w:val="00B31D75"/>
    <w:rsid w:val="00B3278E"/>
    <w:rsid w:val="00B357DF"/>
    <w:rsid w:val="00B36CE4"/>
    <w:rsid w:val="00B4111D"/>
    <w:rsid w:val="00B424DC"/>
    <w:rsid w:val="00B4408E"/>
    <w:rsid w:val="00B45212"/>
    <w:rsid w:val="00B52B34"/>
    <w:rsid w:val="00B576F3"/>
    <w:rsid w:val="00B6158B"/>
    <w:rsid w:val="00B62B66"/>
    <w:rsid w:val="00B62E2C"/>
    <w:rsid w:val="00B65021"/>
    <w:rsid w:val="00B72E6C"/>
    <w:rsid w:val="00B74DE5"/>
    <w:rsid w:val="00B83967"/>
    <w:rsid w:val="00B84191"/>
    <w:rsid w:val="00B865F4"/>
    <w:rsid w:val="00B86F91"/>
    <w:rsid w:val="00B94119"/>
    <w:rsid w:val="00B96EA8"/>
    <w:rsid w:val="00BB348B"/>
    <w:rsid w:val="00BB3EFA"/>
    <w:rsid w:val="00BB4541"/>
    <w:rsid w:val="00BC5666"/>
    <w:rsid w:val="00BC5697"/>
    <w:rsid w:val="00BC610D"/>
    <w:rsid w:val="00BD4AAB"/>
    <w:rsid w:val="00BD5675"/>
    <w:rsid w:val="00BE6AA5"/>
    <w:rsid w:val="00BF0264"/>
    <w:rsid w:val="00BF03DC"/>
    <w:rsid w:val="00BF05C7"/>
    <w:rsid w:val="00BF1AB6"/>
    <w:rsid w:val="00BF1CC1"/>
    <w:rsid w:val="00BF6122"/>
    <w:rsid w:val="00C01FED"/>
    <w:rsid w:val="00C07A36"/>
    <w:rsid w:val="00C159D9"/>
    <w:rsid w:val="00C1641D"/>
    <w:rsid w:val="00C248F5"/>
    <w:rsid w:val="00C259D9"/>
    <w:rsid w:val="00C25FF9"/>
    <w:rsid w:val="00C27C75"/>
    <w:rsid w:val="00C37E04"/>
    <w:rsid w:val="00C41ACA"/>
    <w:rsid w:val="00C43DD3"/>
    <w:rsid w:val="00C57431"/>
    <w:rsid w:val="00C639D0"/>
    <w:rsid w:val="00C64346"/>
    <w:rsid w:val="00C67EEE"/>
    <w:rsid w:val="00C7153F"/>
    <w:rsid w:val="00C71802"/>
    <w:rsid w:val="00C73306"/>
    <w:rsid w:val="00C8143F"/>
    <w:rsid w:val="00C83E6C"/>
    <w:rsid w:val="00C930D7"/>
    <w:rsid w:val="00C94D93"/>
    <w:rsid w:val="00CA2440"/>
    <w:rsid w:val="00CA3167"/>
    <w:rsid w:val="00CB4FE4"/>
    <w:rsid w:val="00CC2A24"/>
    <w:rsid w:val="00CC5419"/>
    <w:rsid w:val="00CC674F"/>
    <w:rsid w:val="00CC695B"/>
    <w:rsid w:val="00CC6C28"/>
    <w:rsid w:val="00CC6CB1"/>
    <w:rsid w:val="00CC7ED9"/>
    <w:rsid w:val="00CC7F5D"/>
    <w:rsid w:val="00CD05C8"/>
    <w:rsid w:val="00CD48B9"/>
    <w:rsid w:val="00CD6DBB"/>
    <w:rsid w:val="00CD759A"/>
    <w:rsid w:val="00CE2067"/>
    <w:rsid w:val="00CE2A00"/>
    <w:rsid w:val="00CE66DD"/>
    <w:rsid w:val="00CF5DF3"/>
    <w:rsid w:val="00CF7885"/>
    <w:rsid w:val="00D01C4C"/>
    <w:rsid w:val="00D023AE"/>
    <w:rsid w:val="00D04A75"/>
    <w:rsid w:val="00D10EF7"/>
    <w:rsid w:val="00D15AA5"/>
    <w:rsid w:val="00D20C8B"/>
    <w:rsid w:val="00D227A4"/>
    <w:rsid w:val="00D240B6"/>
    <w:rsid w:val="00D24296"/>
    <w:rsid w:val="00D25848"/>
    <w:rsid w:val="00D27A63"/>
    <w:rsid w:val="00D30348"/>
    <w:rsid w:val="00D304BE"/>
    <w:rsid w:val="00D305B0"/>
    <w:rsid w:val="00D30AF6"/>
    <w:rsid w:val="00D30B82"/>
    <w:rsid w:val="00D34AFA"/>
    <w:rsid w:val="00D36345"/>
    <w:rsid w:val="00D37FDA"/>
    <w:rsid w:val="00D4081F"/>
    <w:rsid w:val="00D42896"/>
    <w:rsid w:val="00D44E5C"/>
    <w:rsid w:val="00D45EE9"/>
    <w:rsid w:val="00D46B05"/>
    <w:rsid w:val="00D551BC"/>
    <w:rsid w:val="00D566BB"/>
    <w:rsid w:val="00D5714C"/>
    <w:rsid w:val="00D64861"/>
    <w:rsid w:val="00D667E7"/>
    <w:rsid w:val="00D671CC"/>
    <w:rsid w:val="00D72133"/>
    <w:rsid w:val="00D7446A"/>
    <w:rsid w:val="00D7559A"/>
    <w:rsid w:val="00D80ACA"/>
    <w:rsid w:val="00D84950"/>
    <w:rsid w:val="00D858B9"/>
    <w:rsid w:val="00D87997"/>
    <w:rsid w:val="00D90728"/>
    <w:rsid w:val="00D90C34"/>
    <w:rsid w:val="00D911C5"/>
    <w:rsid w:val="00D95CD7"/>
    <w:rsid w:val="00D967FA"/>
    <w:rsid w:val="00D974C9"/>
    <w:rsid w:val="00DA489A"/>
    <w:rsid w:val="00DA4F61"/>
    <w:rsid w:val="00DA664C"/>
    <w:rsid w:val="00DB4169"/>
    <w:rsid w:val="00DB610A"/>
    <w:rsid w:val="00DB72BD"/>
    <w:rsid w:val="00DD1044"/>
    <w:rsid w:val="00DD1405"/>
    <w:rsid w:val="00DD2A23"/>
    <w:rsid w:val="00DD3F3B"/>
    <w:rsid w:val="00DD430D"/>
    <w:rsid w:val="00DD5B84"/>
    <w:rsid w:val="00DD6B27"/>
    <w:rsid w:val="00DE0A12"/>
    <w:rsid w:val="00DE17B3"/>
    <w:rsid w:val="00DE3FF1"/>
    <w:rsid w:val="00DE5522"/>
    <w:rsid w:val="00DE5B35"/>
    <w:rsid w:val="00DE6351"/>
    <w:rsid w:val="00DF0061"/>
    <w:rsid w:val="00DF1DD4"/>
    <w:rsid w:val="00DF418E"/>
    <w:rsid w:val="00DF5A35"/>
    <w:rsid w:val="00E04C19"/>
    <w:rsid w:val="00E07481"/>
    <w:rsid w:val="00E11DAE"/>
    <w:rsid w:val="00E12DA6"/>
    <w:rsid w:val="00E15A1D"/>
    <w:rsid w:val="00E16AAE"/>
    <w:rsid w:val="00E16CB3"/>
    <w:rsid w:val="00E1784F"/>
    <w:rsid w:val="00E2115D"/>
    <w:rsid w:val="00E2209B"/>
    <w:rsid w:val="00E223C3"/>
    <w:rsid w:val="00E24AFB"/>
    <w:rsid w:val="00E25725"/>
    <w:rsid w:val="00E3110E"/>
    <w:rsid w:val="00E32044"/>
    <w:rsid w:val="00E36CCA"/>
    <w:rsid w:val="00E36F78"/>
    <w:rsid w:val="00E431C2"/>
    <w:rsid w:val="00E434A5"/>
    <w:rsid w:val="00E455B8"/>
    <w:rsid w:val="00E53937"/>
    <w:rsid w:val="00E54804"/>
    <w:rsid w:val="00E54F0E"/>
    <w:rsid w:val="00E62A92"/>
    <w:rsid w:val="00E65A69"/>
    <w:rsid w:val="00E70C41"/>
    <w:rsid w:val="00E7339C"/>
    <w:rsid w:val="00E77990"/>
    <w:rsid w:val="00E77B80"/>
    <w:rsid w:val="00E813EF"/>
    <w:rsid w:val="00E82E88"/>
    <w:rsid w:val="00E8415F"/>
    <w:rsid w:val="00E84378"/>
    <w:rsid w:val="00E84837"/>
    <w:rsid w:val="00E84D2C"/>
    <w:rsid w:val="00E86287"/>
    <w:rsid w:val="00E87029"/>
    <w:rsid w:val="00E946F7"/>
    <w:rsid w:val="00E95BED"/>
    <w:rsid w:val="00E96E07"/>
    <w:rsid w:val="00EA75F9"/>
    <w:rsid w:val="00EB5C58"/>
    <w:rsid w:val="00EB6C31"/>
    <w:rsid w:val="00EC3B38"/>
    <w:rsid w:val="00EC7EEC"/>
    <w:rsid w:val="00ED613C"/>
    <w:rsid w:val="00ED77BE"/>
    <w:rsid w:val="00EE4DBD"/>
    <w:rsid w:val="00EE4DF5"/>
    <w:rsid w:val="00EE7DF0"/>
    <w:rsid w:val="00EF1E4E"/>
    <w:rsid w:val="00EF3585"/>
    <w:rsid w:val="00F048C4"/>
    <w:rsid w:val="00F0790B"/>
    <w:rsid w:val="00F1481B"/>
    <w:rsid w:val="00F15677"/>
    <w:rsid w:val="00F16BEF"/>
    <w:rsid w:val="00F17076"/>
    <w:rsid w:val="00F20F45"/>
    <w:rsid w:val="00F21BD9"/>
    <w:rsid w:val="00F24BE5"/>
    <w:rsid w:val="00F24FFB"/>
    <w:rsid w:val="00F27607"/>
    <w:rsid w:val="00F34733"/>
    <w:rsid w:val="00F349BF"/>
    <w:rsid w:val="00F35297"/>
    <w:rsid w:val="00F35DFB"/>
    <w:rsid w:val="00F379AD"/>
    <w:rsid w:val="00F416C9"/>
    <w:rsid w:val="00F44DD5"/>
    <w:rsid w:val="00F5120E"/>
    <w:rsid w:val="00F5568B"/>
    <w:rsid w:val="00F609A8"/>
    <w:rsid w:val="00F62025"/>
    <w:rsid w:val="00F6252F"/>
    <w:rsid w:val="00F63E46"/>
    <w:rsid w:val="00F6464A"/>
    <w:rsid w:val="00F6479E"/>
    <w:rsid w:val="00F64DC5"/>
    <w:rsid w:val="00F64EA0"/>
    <w:rsid w:val="00F74247"/>
    <w:rsid w:val="00F7679F"/>
    <w:rsid w:val="00F84D5F"/>
    <w:rsid w:val="00F85E67"/>
    <w:rsid w:val="00F85EB3"/>
    <w:rsid w:val="00F85F1F"/>
    <w:rsid w:val="00F86104"/>
    <w:rsid w:val="00F93460"/>
    <w:rsid w:val="00F93D85"/>
    <w:rsid w:val="00F96FE7"/>
    <w:rsid w:val="00FA225F"/>
    <w:rsid w:val="00FA236E"/>
    <w:rsid w:val="00FA6AB1"/>
    <w:rsid w:val="00FA7EB5"/>
    <w:rsid w:val="00FB049A"/>
    <w:rsid w:val="00FB0831"/>
    <w:rsid w:val="00FB25DC"/>
    <w:rsid w:val="00FB26E8"/>
    <w:rsid w:val="00FB571A"/>
    <w:rsid w:val="00FB5E09"/>
    <w:rsid w:val="00FC07EC"/>
    <w:rsid w:val="00FC4598"/>
    <w:rsid w:val="00FC7F4B"/>
    <w:rsid w:val="00FD10B4"/>
    <w:rsid w:val="00FD1946"/>
    <w:rsid w:val="00FE057E"/>
    <w:rsid w:val="00FE54A7"/>
    <w:rsid w:val="00FF2108"/>
    <w:rsid w:val="00FF2951"/>
    <w:rsid w:val="00FF4CA8"/>
    <w:rsid w:val="00FF5EF5"/>
    <w:rsid w:val="00FF65D3"/>
    <w:rsid w:val="0A8B3CEE"/>
    <w:rsid w:val="0D7C2160"/>
    <w:rsid w:val="12401270"/>
    <w:rsid w:val="5F746C1C"/>
    <w:rsid w:val="60F95932"/>
    <w:rsid w:val="664E1E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9"/>
    <w:semiHidden/>
    <w:unhideWhenUsed/>
    <w:qFormat/>
    <w:uiPriority w:val="99"/>
    <w:pPr>
      <w:jc w:val="left"/>
    </w:pPr>
  </w:style>
  <w:style w:type="paragraph" w:styleId="3">
    <w:name w:val="Balloon Text"/>
    <w:basedOn w:val="1"/>
    <w:link w:val="23"/>
    <w:semiHidden/>
    <w:unhideWhenUsed/>
    <w:qFormat/>
    <w:uiPriority w:val="99"/>
    <w:rPr>
      <w:sz w:val="18"/>
      <w:szCs w:val="18"/>
    </w:rPr>
  </w:style>
  <w:style w:type="paragraph" w:styleId="4">
    <w:name w:val="footer"/>
    <w:basedOn w:val="1"/>
    <w:link w:val="22"/>
    <w:unhideWhenUsed/>
    <w:qFormat/>
    <w:uiPriority w:val="99"/>
    <w:pPr>
      <w:tabs>
        <w:tab w:val="center" w:pos="4153"/>
        <w:tab w:val="right" w:pos="8306"/>
      </w:tabs>
      <w:snapToGrid w:val="0"/>
      <w:jc w:val="left"/>
    </w:pPr>
    <w:rPr>
      <w:sz w:val="18"/>
      <w:szCs w:val="18"/>
    </w:rPr>
  </w:style>
  <w:style w:type="paragraph" w:styleId="5">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footnote text"/>
    <w:basedOn w:val="1"/>
    <w:link w:val="17"/>
    <w:semiHidden/>
    <w:unhideWhenUsed/>
    <w:qFormat/>
    <w:uiPriority w:val="99"/>
    <w:pPr>
      <w:snapToGrid w:val="0"/>
      <w:jc w:val="left"/>
    </w:pPr>
    <w:rPr>
      <w:sz w:val="18"/>
      <w:szCs w:val="18"/>
    </w:rPr>
  </w:style>
  <w:style w:type="paragraph" w:styleId="7">
    <w:name w:val="Normal (Web)"/>
    <w:basedOn w:val="1"/>
    <w:unhideWhenUsed/>
    <w:qFormat/>
    <w:uiPriority w:val="99"/>
    <w:rPr>
      <w:rFonts w:ascii="Times New Roman" w:hAnsi="Times New Roman" w:cs="Times New Roman"/>
      <w:sz w:val="24"/>
      <w:szCs w:val="24"/>
    </w:rPr>
  </w:style>
  <w:style w:type="paragraph" w:styleId="8">
    <w:name w:val="annotation subject"/>
    <w:basedOn w:val="2"/>
    <w:next w:val="2"/>
    <w:link w:val="20"/>
    <w:semiHidden/>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20"/>
    <w:rPr>
      <w:i/>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styleId="14">
    <w:name w:val="annotation reference"/>
    <w:basedOn w:val="11"/>
    <w:semiHidden/>
    <w:unhideWhenUsed/>
    <w:qFormat/>
    <w:uiPriority w:val="99"/>
    <w:rPr>
      <w:sz w:val="21"/>
      <w:szCs w:val="21"/>
    </w:rPr>
  </w:style>
  <w:style w:type="character" w:styleId="15">
    <w:name w:val="footnote reference"/>
    <w:basedOn w:val="11"/>
    <w:semiHidden/>
    <w:unhideWhenUsed/>
    <w:qFormat/>
    <w:uiPriority w:val="99"/>
    <w:rPr>
      <w:vertAlign w:val="superscript"/>
    </w:rPr>
  </w:style>
  <w:style w:type="paragraph" w:styleId="16">
    <w:name w:val="List Paragraph"/>
    <w:basedOn w:val="1"/>
    <w:qFormat/>
    <w:uiPriority w:val="34"/>
    <w:pPr>
      <w:ind w:firstLine="420" w:firstLineChars="200"/>
    </w:pPr>
  </w:style>
  <w:style w:type="character" w:customStyle="1" w:styleId="17">
    <w:name w:val="脚注文本 字符"/>
    <w:basedOn w:val="11"/>
    <w:link w:val="6"/>
    <w:semiHidden/>
    <w:qFormat/>
    <w:uiPriority w:val="99"/>
    <w:rPr>
      <w:sz w:val="18"/>
      <w:szCs w:val="18"/>
    </w:rPr>
  </w:style>
  <w:style w:type="character" w:customStyle="1" w:styleId="18">
    <w:name w:val="未处理的提及1"/>
    <w:basedOn w:val="11"/>
    <w:semiHidden/>
    <w:unhideWhenUsed/>
    <w:qFormat/>
    <w:uiPriority w:val="99"/>
    <w:rPr>
      <w:color w:val="605E5C"/>
      <w:shd w:val="clear" w:color="auto" w:fill="E1DFDD"/>
    </w:rPr>
  </w:style>
  <w:style w:type="character" w:customStyle="1" w:styleId="19">
    <w:name w:val="批注文字 字符"/>
    <w:basedOn w:val="11"/>
    <w:link w:val="2"/>
    <w:semiHidden/>
    <w:qFormat/>
    <w:uiPriority w:val="99"/>
  </w:style>
  <w:style w:type="character" w:customStyle="1" w:styleId="20">
    <w:name w:val="批注主题 字符"/>
    <w:basedOn w:val="19"/>
    <w:link w:val="8"/>
    <w:semiHidden/>
    <w:qFormat/>
    <w:uiPriority w:val="99"/>
    <w:rPr>
      <w:b/>
      <w:bCs/>
    </w:rPr>
  </w:style>
  <w:style w:type="character" w:customStyle="1" w:styleId="21">
    <w:name w:val="页眉 字符"/>
    <w:basedOn w:val="11"/>
    <w:link w:val="5"/>
    <w:qFormat/>
    <w:uiPriority w:val="99"/>
    <w:rPr>
      <w:sz w:val="18"/>
      <w:szCs w:val="18"/>
    </w:rPr>
  </w:style>
  <w:style w:type="character" w:customStyle="1" w:styleId="22">
    <w:name w:val="页脚 字符"/>
    <w:basedOn w:val="11"/>
    <w:link w:val="4"/>
    <w:qFormat/>
    <w:uiPriority w:val="99"/>
    <w:rPr>
      <w:sz w:val="18"/>
      <w:szCs w:val="18"/>
    </w:rPr>
  </w:style>
  <w:style w:type="character" w:customStyle="1" w:styleId="23">
    <w:name w:val="批注框文本 字符"/>
    <w:basedOn w:val="11"/>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chart" Target="charts/chart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审判实践</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manualLayout>
                  <c:x val="0.0842764266795088"/>
                  <c:y val="0.00825593395252838"/>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153506036970604"/>
                  <c:y val="-0.111455108359133"/>
                </c:manualLayout>
              </c:layout>
              <c:dLblPos val="bestFit"/>
              <c:showLegendKey val="0"/>
              <c:showVal val="0"/>
              <c:showCatName val="1"/>
              <c:showSerName val="0"/>
              <c:showPercent val="1"/>
              <c:showBubbleSize val="0"/>
              <c:separator>
</c:separator>
              <c:extLst>
                <c:ext xmlns:c15="http://schemas.microsoft.com/office/drawing/2012/chart" uri="{CE6537A1-D6FC-4f65-9D91-7224C49458BB}">
                  <c15:layout/>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lang="zh-CN" sz="900" b="0" i="0" u="none" strike="noStrike" kern="1200" baseline="0">
                    <a:solidFill>
                      <a:schemeClr val="dk1">
                        <a:lumMod val="65000"/>
                        <a:lumOff val="35000"/>
                      </a:schemeClr>
                    </a:solidFill>
                    <a:latin typeface="+mn-lt"/>
                    <a:ea typeface="+mn-ea"/>
                    <a:cs typeface="+mn-cs"/>
                  </a:defRPr>
                </a:pPr>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layout/>
                <c15:showLeaderLines val="0"/>
                <c15:leaderLines>
                  <c:spPr>
                    <a:ln w="9525" cap="flat" cmpd="sng" algn="ctr">
                      <a:solidFill>
                        <a:schemeClr val="tx1">
                          <a:lumMod val="35000"/>
                          <a:lumOff val="65000"/>
                        </a:schemeClr>
                      </a:solidFill>
                      <a:round/>
                    </a:ln>
                    <a:effectLst/>
                  </c:spPr>
                </c15:leaderLines>
              </c:ext>
            </c:extLst>
          </c:dLbls>
          <c:cat>
            <c:strRef>
              <c:f>Sheet1!$A$2:$A$3</c:f>
              <c:strCache>
                <c:ptCount val="2"/>
                <c:pt idx="0">
                  <c:v>数罪并罚</c:v>
                </c:pt>
                <c:pt idx="1">
                  <c:v>一罪论处</c:v>
                </c:pt>
              </c:strCache>
            </c:strRef>
          </c:cat>
          <c:val>
            <c:numRef>
              <c:f>Sheet1!$B$2:$B$3</c:f>
              <c:numCache>
                <c:formatCode>General</c:formatCode>
                <c:ptCount val="2"/>
                <c:pt idx="0">
                  <c:v>1</c:v>
                </c:pt>
                <c:pt idx="1">
                  <c:v>8</c:v>
                </c:pt>
              </c:numCache>
            </c:numRef>
          </c:val>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BFDAA-4A2F-4240-97EC-D4F06A98627F}">
  <ds:schemaRefs/>
</ds:datastoreItem>
</file>

<file path=docProps/app.xml><?xml version="1.0" encoding="utf-8"?>
<Properties xmlns="http://schemas.openxmlformats.org/officeDocument/2006/extended-properties" xmlns:vt="http://schemas.openxmlformats.org/officeDocument/2006/docPropsVTypes">
  <Template>Normal</Template>
  <Pages>9</Pages>
  <Words>6899</Words>
  <Characters>7149</Characters>
  <Lines>50</Lines>
  <Paragraphs>14</Paragraphs>
  <TotalTime>345</TotalTime>
  <ScaleCrop>false</ScaleCrop>
  <LinksUpToDate>false</LinksUpToDate>
  <CharactersWithSpaces>7163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2021-02-28T03:45:00Z</dcterms:created>
  <dc:creator>陈 美欣</dc:creator>
  <cp:lastModifiedBy>CARMEN</cp:lastModifiedBy>
  <dcterms:modified xsi:type="dcterms:W3CDTF">2022-10-11T08:44:56Z</dcterms:modified>
  <cp:revision>805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D40F1C642BAD4C7AA551EEDA54FDBC40</vt:lpwstr>
  </property>
</Properties>
</file>