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line="360" w:lineRule="auto"/>
        <w:rPr>
          <w:rFonts w:hint="eastAsia" w:ascii="宋体" w:hAnsi="宋体" w:eastAsia="宋体" w:cs="宋体"/>
          <w:b w:val="0"/>
          <w:bCs w:val="0"/>
          <w:i w:val="0"/>
          <w:iCs w:val="0"/>
          <w:caps w:val="0"/>
          <w:color w:val="232323"/>
          <w:spacing w:val="0"/>
          <w:sz w:val="24"/>
          <w:szCs w:val="24"/>
          <w:shd w:val="clear" w:fill="FFFFFF"/>
        </w:rPr>
      </w:pPr>
      <w:r>
        <w:rPr>
          <w:rFonts w:hint="eastAsia" w:ascii="宋体" w:hAnsi="宋体" w:eastAsia="宋体" w:cs="宋体"/>
          <w:b/>
          <w:bCs/>
          <w:sz w:val="24"/>
          <w:szCs w:val="24"/>
        </w:rPr>
        <w:t>【文件名称】：</w:t>
      </w:r>
      <w:r>
        <w:rPr>
          <w:rFonts w:hint="eastAsia" w:ascii="宋体" w:hAnsi="宋体" w:eastAsia="宋体" w:cs="宋体"/>
          <w:b w:val="0"/>
          <w:bCs w:val="0"/>
          <w:i w:val="0"/>
          <w:iCs w:val="0"/>
          <w:caps w:val="0"/>
          <w:color w:val="232323"/>
          <w:spacing w:val="0"/>
          <w:sz w:val="24"/>
          <w:szCs w:val="24"/>
          <w:shd w:val="clear" w:fill="FFFFFF"/>
        </w:rPr>
        <w:t>对十三届全国人大五次会议第4311号建议的答复</w:t>
      </w:r>
    </w:p>
    <w:p>
      <w:pPr>
        <w:shd w:val="clear" w:color="auto" w:fill="FFFFFF"/>
        <w:spacing w:line="360" w:lineRule="auto"/>
        <w:rPr>
          <w:rFonts w:hint="eastAsia" w:ascii="宋体" w:hAnsi="宋体" w:eastAsia="宋体" w:cs="宋体"/>
          <w:b/>
          <w:bCs/>
          <w:sz w:val="24"/>
          <w:szCs w:val="24"/>
        </w:rPr>
      </w:pPr>
      <w:r>
        <w:rPr>
          <w:rFonts w:hint="eastAsia" w:ascii="宋体" w:hAnsi="宋体" w:eastAsia="宋体" w:cs="宋体"/>
          <w:b/>
          <w:bCs/>
          <w:sz w:val="24"/>
          <w:szCs w:val="24"/>
        </w:rPr>
        <w:t>【发文机关】：</w:t>
      </w:r>
      <w:r>
        <w:rPr>
          <w:rFonts w:hint="eastAsia" w:ascii="宋体" w:hAnsi="宋体" w:eastAsia="宋体" w:cs="宋体"/>
          <w:b w:val="0"/>
          <w:bCs w:val="0"/>
          <w:sz w:val="24"/>
          <w:szCs w:val="24"/>
        </w:rPr>
        <w:fldChar w:fldCharType="begin"/>
      </w:r>
      <w:r>
        <w:rPr>
          <w:rFonts w:hint="eastAsia" w:ascii="宋体" w:hAnsi="宋体" w:eastAsia="宋体" w:cs="宋体"/>
          <w:b w:val="0"/>
          <w:bCs w:val="0"/>
          <w:sz w:val="24"/>
          <w:szCs w:val="24"/>
        </w:rPr>
        <w:instrText xml:space="preserve"> HYPERLINK "https://law.wkinfo.com.cn/legislation?fq=promulgatingAgency%C7%81%E5%B7%A5%E4%B8%9A%E5%92%8C%E4%BF%A1%E6%81%AF%E5%8C%96%E9%83%A8%C7%81%C7%82" </w:instrText>
      </w:r>
      <w:r>
        <w:rPr>
          <w:rFonts w:hint="eastAsia" w:ascii="宋体" w:hAnsi="宋体" w:eastAsia="宋体" w:cs="宋体"/>
          <w:b w:val="0"/>
          <w:bCs w:val="0"/>
          <w:sz w:val="24"/>
          <w:szCs w:val="24"/>
        </w:rPr>
        <w:fldChar w:fldCharType="separate"/>
      </w:r>
      <w:r>
        <w:rPr>
          <w:rFonts w:hint="eastAsia" w:ascii="宋体" w:hAnsi="宋体" w:eastAsia="宋体" w:cs="宋体"/>
          <w:b w:val="0"/>
          <w:bCs w:val="0"/>
          <w:sz w:val="24"/>
          <w:szCs w:val="24"/>
        </w:rPr>
        <w:t>工业和信息化部</w:t>
      </w:r>
      <w:r>
        <w:rPr>
          <w:rFonts w:hint="eastAsia" w:ascii="宋体" w:hAnsi="宋体" w:eastAsia="宋体" w:cs="宋体"/>
          <w:b w:val="0"/>
          <w:bCs w:val="0"/>
          <w:sz w:val="24"/>
          <w:szCs w:val="24"/>
        </w:rPr>
        <w:fldChar w:fldCharType="end"/>
      </w:r>
    </w:p>
    <w:p>
      <w:pPr>
        <w:shd w:val="clear" w:color="auto" w:fill="FFFFFF"/>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【成文日期】：</w:t>
      </w:r>
      <w:r>
        <w:rPr>
          <w:rFonts w:hint="eastAsia" w:ascii="宋体" w:hAnsi="宋体" w:eastAsia="宋体" w:cs="宋体"/>
          <w:b w:val="0"/>
          <w:bCs w:val="0"/>
          <w:sz w:val="24"/>
          <w:szCs w:val="24"/>
        </w:rPr>
        <w:t>2022年</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月</w:t>
      </w:r>
      <w:r>
        <w:rPr>
          <w:rFonts w:hint="eastAsia" w:ascii="宋体" w:hAnsi="宋体" w:eastAsia="宋体" w:cs="宋体"/>
          <w:b w:val="0"/>
          <w:bCs w:val="0"/>
          <w:sz w:val="24"/>
          <w:szCs w:val="24"/>
          <w:lang w:val="en-US" w:eastAsia="zh-CN"/>
        </w:rPr>
        <w:t>20</w:t>
      </w:r>
      <w:r>
        <w:rPr>
          <w:rFonts w:hint="eastAsia" w:ascii="宋体" w:hAnsi="宋体" w:eastAsia="宋体" w:cs="宋体"/>
          <w:b w:val="0"/>
          <w:bCs w:val="0"/>
          <w:sz w:val="24"/>
          <w:szCs w:val="24"/>
        </w:rPr>
        <w:t>日</w:t>
      </w:r>
    </w:p>
    <w:p>
      <w:pPr>
        <w:shd w:val="clear" w:color="auto" w:fill="FFFFFF"/>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【发布日期】</w:t>
      </w:r>
      <w:r>
        <w:rPr>
          <w:rFonts w:hint="eastAsia" w:ascii="宋体" w:hAnsi="宋体" w:eastAsia="宋体" w:cs="宋体"/>
          <w:b w:val="0"/>
          <w:bCs w:val="0"/>
          <w:sz w:val="24"/>
          <w:szCs w:val="24"/>
        </w:rPr>
        <w:t>：2022年</w:t>
      </w: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月</w:t>
      </w:r>
      <w:r>
        <w:rPr>
          <w:rFonts w:hint="eastAsia" w:ascii="宋体" w:hAnsi="宋体" w:eastAsia="宋体" w:cs="宋体"/>
          <w:b w:val="0"/>
          <w:bCs w:val="0"/>
          <w:sz w:val="24"/>
          <w:szCs w:val="24"/>
          <w:lang w:val="en-US" w:eastAsia="zh-CN"/>
        </w:rPr>
        <w:t>20</w:t>
      </w:r>
      <w:r>
        <w:rPr>
          <w:rFonts w:hint="eastAsia" w:ascii="宋体" w:hAnsi="宋体" w:eastAsia="宋体" w:cs="宋体"/>
          <w:b w:val="0"/>
          <w:bCs w:val="0"/>
          <w:sz w:val="24"/>
          <w:szCs w:val="24"/>
        </w:rPr>
        <w:t>日</w:t>
      </w:r>
    </w:p>
    <w:p>
      <w:pPr>
        <w:tabs>
          <w:tab w:val="left" w:pos="6277"/>
        </w:tabs>
        <w:spacing w:line="360" w:lineRule="auto"/>
        <w:jc w:val="left"/>
        <w:rPr>
          <w:rFonts w:hint="eastAsia" w:ascii="宋体" w:hAnsi="宋体" w:eastAsia="宋体" w:cs="宋体"/>
          <w:b w:val="0"/>
          <w:bCs w:val="0"/>
          <w:sz w:val="24"/>
          <w:szCs w:val="24"/>
        </w:rPr>
      </w:pPr>
      <w:r>
        <w:rPr>
          <w:rFonts w:hint="eastAsia" w:ascii="宋体" w:hAnsi="宋体" w:eastAsia="宋体" w:cs="宋体"/>
          <w:b/>
          <w:bCs/>
          <w:sz w:val="24"/>
          <w:szCs w:val="24"/>
        </w:rPr>
        <w:t>【网络链接】：</w:t>
      </w:r>
      <w:r>
        <w:rPr>
          <w:rFonts w:hint="eastAsia" w:ascii="宋体" w:hAnsi="宋体" w:eastAsia="宋体" w:cs="宋体"/>
          <w:b w:val="0"/>
          <w:bCs w:val="0"/>
          <w:sz w:val="24"/>
          <w:szCs w:val="24"/>
        </w:rPr>
        <w:t>https://www.miit.gov.cn/zwgk/jytafwgk/art/2022/art_545f29f22e0449de89f12705b57e0e60.html</w:t>
      </w:r>
    </w:p>
    <w:p>
      <w:pPr>
        <w:tabs>
          <w:tab w:val="left" w:pos="6277"/>
        </w:tabs>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【上传人】：</w:t>
      </w:r>
      <w:r>
        <w:rPr>
          <w:rFonts w:hint="eastAsia" w:ascii="宋体" w:hAnsi="宋体" w:eastAsia="宋体" w:cs="宋体"/>
          <w:b w:val="0"/>
          <w:bCs w:val="0"/>
          <w:sz w:val="24"/>
          <w:szCs w:val="24"/>
          <w:lang w:val="en-US" w:eastAsia="zh-Hans"/>
        </w:rPr>
        <w:t>电竞网游委</w:t>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【文件内容】：</w:t>
      </w:r>
    </w:p>
    <w:p>
      <w:pPr>
        <w:spacing w:line="360" w:lineRule="auto"/>
        <w:rPr>
          <w:rFonts w:hint="eastAsia" w:ascii="宋体" w:hAnsi="宋体" w:eastAsia="宋体" w:cs="宋体"/>
          <w:b w:val="0"/>
          <w:bCs w:val="0"/>
          <w:sz w:val="24"/>
          <w:szCs w:val="24"/>
        </w:rPr>
      </w:pPr>
    </w:p>
    <w:p>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对十三届全国人大五次会议第4311号建议的答复</w:t>
      </w:r>
    </w:p>
    <w:p>
      <w:pPr>
        <w:spacing w:line="360" w:lineRule="auto"/>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工信建议〔2022〕18号</w:t>
      </w:r>
    </w:p>
    <w:p>
      <w:pPr>
        <w:spacing w:line="360" w:lineRule="auto"/>
        <w:ind w:left="0" w:leftChars="0" w:firstLine="638" w:firstLineChars="266"/>
        <w:rPr>
          <w:rFonts w:hint="eastAsia" w:ascii="宋体" w:hAnsi="宋体" w:eastAsia="宋体" w:cs="宋体"/>
          <w:b w:val="0"/>
          <w:bCs w:val="0"/>
          <w:sz w:val="24"/>
          <w:szCs w:val="24"/>
        </w:rPr>
      </w:pPr>
      <w:bookmarkStart w:id="0" w:name="No3"/>
      <w:bookmarkEnd w:id="0"/>
      <w:bookmarkStart w:id="29" w:name="_GoBack"/>
      <w:r>
        <w:rPr>
          <w:rFonts w:hint="eastAsia" w:ascii="宋体" w:hAnsi="宋体" w:eastAsia="宋体" w:cs="宋体"/>
          <w:b w:val="0"/>
          <w:bCs w:val="0"/>
          <w:sz w:val="24"/>
          <w:szCs w:val="24"/>
        </w:rPr>
        <w:t>李宗胜代表：</w:t>
      </w:r>
    </w:p>
    <w:p>
      <w:pPr>
        <w:spacing w:line="360" w:lineRule="auto"/>
        <w:ind w:left="0" w:leftChars="0" w:firstLine="638" w:firstLineChars="266"/>
        <w:rPr>
          <w:rFonts w:hint="eastAsia" w:ascii="宋体" w:hAnsi="宋体" w:eastAsia="宋体" w:cs="宋体"/>
          <w:b w:val="0"/>
          <w:bCs w:val="0"/>
          <w:sz w:val="24"/>
          <w:szCs w:val="24"/>
        </w:rPr>
      </w:pPr>
      <w:bookmarkStart w:id="1" w:name="No4"/>
      <w:bookmarkEnd w:id="1"/>
      <w:r>
        <w:rPr>
          <w:rFonts w:hint="eastAsia" w:ascii="宋体" w:hAnsi="宋体" w:eastAsia="宋体" w:cs="宋体"/>
          <w:b w:val="0"/>
          <w:bCs w:val="0"/>
          <w:sz w:val="24"/>
          <w:szCs w:val="24"/>
        </w:rPr>
        <w:t>您提出的关于开发未成年人专用计算机、手机软件功能的建议收悉。经商全国妇联，现答复如下：</w:t>
      </w:r>
    </w:p>
    <w:p>
      <w:pPr>
        <w:spacing w:line="360" w:lineRule="auto"/>
        <w:ind w:left="0" w:leftChars="0" w:firstLine="638" w:firstLineChars="266"/>
        <w:rPr>
          <w:rFonts w:hint="eastAsia" w:ascii="宋体" w:hAnsi="宋体" w:eastAsia="宋体" w:cs="宋体"/>
          <w:b w:val="0"/>
          <w:bCs w:val="0"/>
          <w:sz w:val="24"/>
          <w:szCs w:val="24"/>
        </w:rPr>
      </w:pPr>
      <w:bookmarkStart w:id="2" w:name="No5_T1"/>
      <w:bookmarkEnd w:id="2"/>
      <w:r>
        <w:rPr>
          <w:rFonts w:hint="eastAsia" w:ascii="宋体" w:hAnsi="宋体" w:eastAsia="宋体" w:cs="宋体"/>
          <w:b w:val="0"/>
          <w:bCs w:val="0"/>
          <w:sz w:val="24"/>
          <w:szCs w:val="24"/>
        </w:rPr>
        <w:t>一</w:t>
      </w:r>
      <w:bookmarkStart w:id="3" w:name="No6_T1K1"/>
      <w:bookmarkEnd w:id="3"/>
      <w:r>
        <w:rPr>
          <w:rFonts w:hint="eastAsia" w:ascii="宋体" w:hAnsi="宋体" w:eastAsia="宋体" w:cs="宋体"/>
          <w:b w:val="0"/>
          <w:bCs w:val="0"/>
          <w:sz w:val="24"/>
          <w:szCs w:val="24"/>
        </w:rPr>
        <w:t>、有关研判及认识</w:t>
      </w:r>
    </w:p>
    <w:p>
      <w:pPr>
        <w:spacing w:line="360" w:lineRule="auto"/>
        <w:ind w:left="0" w:leftChars="0" w:firstLine="638" w:firstLineChars="266"/>
        <w:rPr>
          <w:rFonts w:hint="eastAsia" w:ascii="宋体" w:hAnsi="宋体" w:eastAsia="宋体" w:cs="宋体"/>
          <w:b w:val="0"/>
          <w:bCs w:val="0"/>
          <w:sz w:val="24"/>
          <w:szCs w:val="24"/>
        </w:rPr>
      </w:pPr>
      <w:bookmarkStart w:id="4" w:name="No7_D1"/>
      <w:bookmarkEnd w:id="4"/>
      <w:r>
        <w:rPr>
          <w:rFonts w:hint="eastAsia" w:ascii="宋体" w:hAnsi="宋体" w:eastAsia="宋体" w:cs="宋体"/>
          <w:b w:val="0"/>
          <w:bCs w:val="0"/>
          <w:sz w:val="24"/>
          <w:szCs w:val="24"/>
        </w:rPr>
        <w:t>（一）未成年人网络保护需综合引导规范</w:t>
      </w:r>
    </w:p>
    <w:p>
      <w:pPr>
        <w:spacing w:line="360" w:lineRule="auto"/>
        <w:ind w:left="0" w:leftChars="0" w:firstLine="638" w:firstLineChars="266"/>
        <w:rPr>
          <w:rFonts w:hint="eastAsia" w:ascii="宋体" w:hAnsi="宋体" w:eastAsia="宋体" w:cs="宋体"/>
          <w:b w:val="0"/>
          <w:bCs w:val="0"/>
          <w:sz w:val="24"/>
          <w:szCs w:val="24"/>
        </w:rPr>
      </w:pPr>
      <w:bookmarkStart w:id="5" w:name="No8"/>
      <w:bookmarkEnd w:id="5"/>
      <w:r>
        <w:rPr>
          <w:rFonts w:hint="eastAsia" w:ascii="宋体" w:hAnsi="宋体" w:eastAsia="宋体" w:cs="宋体"/>
          <w:b w:val="0"/>
          <w:bCs w:val="0"/>
          <w:sz w:val="24"/>
          <w:szCs w:val="24"/>
        </w:rPr>
        <w:t>党中央、国务院高度重视未成年人网络保护，《未成人保护法》《网络安全法》《个人信息保护法》都对未成年人网络保护作出专门规定。其中，新修订的《未成人保护法》指出“网信部门及其他有关部门应当加强对未成年人网络保护工作的监督检查”，进一步明确了未成年人网络保护的职责分工。未成年人网络保护涉及产品技术规范、应用内容管控、社会宣传引导、家校共育管理、违法犯罪打击等多方面多环节，需发挥政府、社会、企业、学校、家庭等各方作用，多策并举综合引导规范。</w:t>
      </w:r>
    </w:p>
    <w:p>
      <w:pPr>
        <w:spacing w:line="360" w:lineRule="auto"/>
        <w:ind w:left="0" w:leftChars="0" w:firstLine="638" w:firstLineChars="266"/>
        <w:rPr>
          <w:rFonts w:hint="eastAsia" w:ascii="宋体" w:hAnsi="宋体" w:eastAsia="宋体" w:cs="宋体"/>
          <w:b w:val="0"/>
          <w:bCs w:val="0"/>
          <w:sz w:val="24"/>
          <w:szCs w:val="24"/>
        </w:rPr>
      </w:pPr>
      <w:bookmarkStart w:id="6" w:name="No9_D2"/>
      <w:bookmarkEnd w:id="6"/>
      <w:r>
        <w:rPr>
          <w:rFonts w:hint="eastAsia" w:ascii="宋体" w:hAnsi="宋体" w:eastAsia="宋体" w:cs="宋体"/>
          <w:b w:val="0"/>
          <w:bCs w:val="0"/>
          <w:sz w:val="24"/>
          <w:szCs w:val="24"/>
        </w:rPr>
        <w:t>（二）未成年人网络保护需强化技术支撑</w:t>
      </w:r>
    </w:p>
    <w:p>
      <w:pPr>
        <w:spacing w:line="360" w:lineRule="auto"/>
        <w:ind w:left="0" w:leftChars="0" w:firstLine="638" w:firstLineChars="266"/>
        <w:rPr>
          <w:rFonts w:hint="eastAsia" w:ascii="宋体" w:hAnsi="宋体" w:eastAsia="宋体" w:cs="宋体"/>
          <w:b w:val="0"/>
          <w:bCs w:val="0"/>
          <w:sz w:val="24"/>
          <w:szCs w:val="24"/>
        </w:rPr>
      </w:pPr>
      <w:bookmarkStart w:id="7" w:name="No10"/>
      <w:bookmarkEnd w:id="7"/>
      <w:r>
        <w:rPr>
          <w:rFonts w:hint="eastAsia" w:ascii="宋体" w:hAnsi="宋体" w:eastAsia="宋体" w:cs="宋体"/>
          <w:b w:val="0"/>
          <w:bCs w:val="0"/>
          <w:sz w:val="24"/>
          <w:szCs w:val="24"/>
        </w:rPr>
        <w:t>开发应用各类打击网络犯罪、规范未成年人网络使用的专用软件和技术是做好未成年人网络保护工作的必由之路和重要支撑，是有效手段和必备工具，需与业务应用监管统筹衔接。以未成年人网络保护专用软件为例，从纵向看，涉及政策依据、需求提出、软件开发、部署应用、反馈升级等各层面。从横向看，未成年人网络保护的每个方面和环节都需要不同的软件和技术支撑，政府部门、家长、学校、企业等各主体对未成年人专用软件功能也有不同的需求。需从各方面各环节上层业务监管应用出发，统筹做好下层软件技术支撑相关工作。</w:t>
      </w:r>
    </w:p>
    <w:p>
      <w:pPr>
        <w:spacing w:line="360" w:lineRule="auto"/>
        <w:ind w:left="0" w:leftChars="0" w:firstLine="638" w:firstLineChars="266"/>
        <w:rPr>
          <w:rFonts w:hint="eastAsia" w:ascii="宋体" w:hAnsi="宋体" w:eastAsia="宋体" w:cs="宋体"/>
          <w:b w:val="0"/>
          <w:bCs w:val="0"/>
          <w:sz w:val="24"/>
          <w:szCs w:val="24"/>
        </w:rPr>
      </w:pPr>
      <w:bookmarkStart w:id="8" w:name="No11_T2"/>
      <w:bookmarkEnd w:id="8"/>
      <w:r>
        <w:rPr>
          <w:rFonts w:hint="eastAsia" w:ascii="宋体" w:hAnsi="宋体" w:eastAsia="宋体" w:cs="宋体"/>
          <w:b w:val="0"/>
          <w:bCs w:val="0"/>
          <w:sz w:val="24"/>
          <w:szCs w:val="24"/>
        </w:rPr>
        <w:t>二</w:t>
      </w:r>
      <w:bookmarkStart w:id="9" w:name="No12_T2K1"/>
      <w:bookmarkEnd w:id="9"/>
      <w:r>
        <w:rPr>
          <w:rFonts w:hint="eastAsia" w:ascii="宋体" w:hAnsi="宋体" w:eastAsia="宋体" w:cs="宋体"/>
          <w:b w:val="0"/>
          <w:bCs w:val="0"/>
          <w:sz w:val="24"/>
          <w:szCs w:val="24"/>
        </w:rPr>
        <w:t>、已开展工作</w:t>
      </w:r>
    </w:p>
    <w:p>
      <w:pPr>
        <w:spacing w:line="360" w:lineRule="auto"/>
        <w:ind w:left="0" w:leftChars="0" w:firstLine="638" w:firstLineChars="266"/>
        <w:rPr>
          <w:rFonts w:hint="eastAsia" w:ascii="宋体" w:hAnsi="宋体" w:eastAsia="宋体" w:cs="宋体"/>
          <w:b w:val="0"/>
          <w:bCs w:val="0"/>
          <w:sz w:val="24"/>
          <w:szCs w:val="24"/>
        </w:rPr>
      </w:pPr>
      <w:bookmarkStart w:id="10" w:name="No13_D1"/>
      <w:bookmarkEnd w:id="10"/>
      <w:r>
        <w:rPr>
          <w:rFonts w:hint="eastAsia" w:ascii="宋体" w:hAnsi="宋体" w:eastAsia="宋体" w:cs="宋体"/>
          <w:b w:val="0"/>
          <w:bCs w:val="0"/>
          <w:sz w:val="24"/>
          <w:szCs w:val="24"/>
        </w:rPr>
        <w:t>（一）各部门相关工作概况</w:t>
      </w:r>
    </w:p>
    <w:p>
      <w:pPr>
        <w:spacing w:line="360" w:lineRule="auto"/>
        <w:ind w:left="0" w:leftChars="0" w:firstLine="638" w:firstLineChars="266"/>
        <w:rPr>
          <w:rFonts w:hint="eastAsia" w:ascii="宋体" w:hAnsi="宋体" w:eastAsia="宋体" w:cs="宋体"/>
          <w:b w:val="0"/>
          <w:bCs w:val="0"/>
          <w:sz w:val="24"/>
          <w:szCs w:val="24"/>
        </w:rPr>
      </w:pPr>
      <w:bookmarkStart w:id="11" w:name="No14"/>
      <w:bookmarkEnd w:id="11"/>
      <w:r>
        <w:rPr>
          <w:rFonts w:hint="eastAsia" w:ascii="宋体" w:hAnsi="宋体" w:eastAsia="宋体" w:cs="宋体"/>
          <w:b w:val="0"/>
          <w:bCs w:val="0"/>
          <w:sz w:val="24"/>
          <w:szCs w:val="24"/>
        </w:rPr>
        <w:t>近年来，网信、宣传、教育等各部门密切协同，不断完善政策依据、开展专项治理、打击违法违规、强化技术支撑，未成年人网络保护取得积极成效。技术产品规范方面，宣传、网信等部门规范手机、电脑等智能终端产品游戏防沉迷、网络视频青少年模式等相关系统功能建设，市场监管部门（国标委）推动研制智能终端儿童保护模式设计和开发标准。应用内容管控方面，网信、宣传、教育、文旅、公安等部门加大网络游戏、网络直播、短视频、网络视频、网络社交、教育APP等业态的整治力度，研发推广相关APP未成年人保护模式，从技术和管理两方面强化防沉迷措施，推广健康有益的网络内容，加强未成年人用户个人信息保护。社会宣传引导方面，网信、教育、卫健、文旅、宣传、新闻出版、全国妇联等部门充分利用互联网在线推广的便捷性，通过公益宣传、公开课、倡议、科普等方式加强未成年人手机防沉迷、游戏防沉迷等宣传引导，促进正确健康的未成年人手机等终端产品及网络使用生态。家校共育管理方面，教育部门限制手机等智能终端产品进入校园、课堂，教育部门、全国妇联通过微视频、讲座、编发指导读本等方式鼓励引导家长安装未成年人保护相关软件、启用未成年人保护模式加强对学生健康使用手机、电脑的督促管理。违法犯罪打击方面，公安、网信、宣传等部门强化“以网制网”，依法开展扫黄打非，治理赌博应用，打击非法网贷等，有效净化了网络环境。</w:t>
      </w:r>
    </w:p>
    <w:p>
      <w:pPr>
        <w:spacing w:line="360" w:lineRule="auto"/>
        <w:ind w:left="0" w:leftChars="0" w:firstLine="638" w:firstLineChars="266"/>
        <w:rPr>
          <w:rFonts w:hint="eastAsia" w:ascii="宋体" w:hAnsi="宋体" w:eastAsia="宋体" w:cs="宋体"/>
          <w:b w:val="0"/>
          <w:bCs w:val="0"/>
          <w:sz w:val="24"/>
          <w:szCs w:val="24"/>
        </w:rPr>
      </w:pPr>
      <w:bookmarkStart w:id="12" w:name="No15_D2"/>
      <w:bookmarkEnd w:id="12"/>
      <w:r>
        <w:rPr>
          <w:rFonts w:hint="eastAsia" w:ascii="宋体" w:hAnsi="宋体" w:eastAsia="宋体" w:cs="宋体"/>
          <w:b w:val="0"/>
          <w:bCs w:val="0"/>
          <w:sz w:val="24"/>
          <w:szCs w:val="24"/>
        </w:rPr>
        <w:t>（二）我部已开展工作</w:t>
      </w:r>
    </w:p>
    <w:p>
      <w:pPr>
        <w:spacing w:line="360" w:lineRule="auto"/>
        <w:ind w:left="0" w:leftChars="0" w:firstLine="638" w:firstLineChars="266"/>
        <w:rPr>
          <w:rFonts w:hint="eastAsia" w:ascii="宋体" w:hAnsi="宋体" w:eastAsia="宋体" w:cs="宋体"/>
          <w:b w:val="0"/>
          <w:bCs w:val="0"/>
          <w:sz w:val="24"/>
          <w:szCs w:val="24"/>
        </w:rPr>
      </w:pPr>
      <w:bookmarkStart w:id="13" w:name="No16"/>
      <w:bookmarkEnd w:id="13"/>
      <w:r>
        <w:rPr>
          <w:rFonts w:hint="eastAsia" w:ascii="宋体" w:hAnsi="宋体" w:eastAsia="宋体" w:cs="宋体"/>
          <w:b w:val="0"/>
          <w:bCs w:val="0"/>
          <w:sz w:val="24"/>
          <w:szCs w:val="24"/>
        </w:rPr>
        <w:t>我部作为电信行业、电子和软件产业管理部门，立足技术发展引导、行业规范管理、技术支撑能力建设等方面职责，积极协同各部门加强未成年人网络保护。</w:t>
      </w:r>
    </w:p>
    <w:p>
      <w:pPr>
        <w:spacing w:line="360" w:lineRule="auto"/>
        <w:ind w:left="0" w:leftChars="0" w:firstLine="638" w:firstLineChars="266"/>
        <w:rPr>
          <w:rFonts w:hint="eastAsia" w:ascii="宋体" w:hAnsi="宋体" w:eastAsia="宋体" w:cs="宋体"/>
          <w:b w:val="0"/>
          <w:bCs w:val="0"/>
          <w:sz w:val="24"/>
          <w:szCs w:val="24"/>
        </w:rPr>
      </w:pPr>
      <w:bookmarkStart w:id="14" w:name="No17"/>
      <w:bookmarkEnd w:id="14"/>
      <w:r>
        <w:rPr>
          <w:rFonts w:hint="eastAsia" w:ascii="宋体" w:hAnsi="宋体" w:eastAsia="宋体" w:cs="宋体"/>
          <w:b w:val="0"/>
          <w:bCs w:val="0"/>
          <w:sz w:val="24"/>
          <w:szCs w:val="24"/>
        </w:rPr>
        <w:t>一是加强手机等移动智能终端技术规范引导。在未成年人网络保护功能开发方面。组织终端企业主动调研对接未成年人网络保护监管政策和市场需求，鼓励引导企业从身份识别、时间管理、远程监控、应用及内容管理、听视力保护等方面开展未成年人网络保护相关基础功能的研发和标准化工作，形成《移动智能终端未成年保护模式技术要求》《移动终端未成年人保护技术要求》两项推荐性行业、团体标准，为上层未成年人网络保护专用软件开发和功能调用提供支持。在终端产品安全检测方面。以电信终端设备进网许可检测为抓手，对终端产品用户信息获取和权限获取控制功能进行检测，确保终端用户对个人私密、敏感信息，以及拍照、摄像、录音、定位、通信等重要权限的控制和选择权，保障终端产品安全防护技术能力，维护用户合法权益。</w:t>
      </w:r>
    </w:p>
    <w:p>
      <w:pPr>
        <w:spacing w:line="360" w:lineRule="auto"/>
        <w:ind w:left="0" w:leftChars="0" w:firstLine="638" w:firstLineChars="266"/>
        <w:rPr>
          <w:rFonts w:hint="eastAsia" w:ascii="宋体" w:hAnsi="宋体" w:eastAsia="宋体" w:cs="宋体"/>
          <w:b w:val="0"/>
          <w:bCs w:val="0"/>
          <w:sz w:val="24"/>
          <w:szCs w:val="24"/>
        </w:rPr>
      </w:pPr>
      <w:bookmarkStart w:id="15" w:name="No18"/>
      <w:bookmarkEnd w:id="15"/>
      <w:r>
        <w:rPr>
          <w:rFonts w:hint="eastAsia" w:ascii="宋体" w:hAnsi="宋体" w:eastAsia="宋体" w:cs="宋体"/>
          <w:b w:val="0"/>
          <w:bCs w:val="0"/>
          <w:sz w:val="24"/>
          <w:szCs w:val="24"/>
        </w:rPr>
        <w:t>二是引导软件企业加强未成年网络保护功能开发。鼓励引导国内软件企业落实未成年人保护法及有关部门未成年人保护政策要求，积极对接市场需求，加快完善手机软件未成年人保护功能。目前，国内已有多家手机软件供应商开发上线未成年人保护功能，在使用时段、时长、功能和浏览内容等方面对未成年人的上网行为进行规范。在社交媒体领域，微信开发“监护人授权”功能；在网络视频领域，哔哩哔哩开发“青少年防火墙计划”；在短视频领域，抖音开发“未成年人保护工具”。同时，为支撑家校共育，软件企业也陆续推出一系列支持家长监控的手机软件，如阳光守护家长版、格雷盒子家长等。</w:t>
      </w:r>
    </w:p>
    <w:p>
      <w:pPr>
        <w:spacing w:line="360" w:lineRule="auto"/>
        <w:ind w:left="0" w:leftChars="0" w:firstLine="638" w:firstLineChars="266"/>
        <w:rPr>
          <w:rFonts w:hint="eastAsia" w:ascii="宋体" w:hAnsi="宋体" w:eastAsia="宋体" w:cs="宋体"/>
          <w:b w:val="0"/>
          <w:bCs w:val="0"/>
          <w:sz w:val="24"/>
          <w:szCs w:val="24"/>
        </w:rPr>
      </w:pPr>
      <w:bookmarkStart w:id="16" w:name="No19"/>
      <w:bookmarkEnd w:id="16"/>
      <w:r>
        <w:rPr>
          <w:rFonts w:hint="eastAsia" w:ascii="宋体" w:hAnsi="宋体" w:eastAsia="宋体" w:cs="宋体"/>
          <w:b w:val="0"/>
          <w:bCs w:val="0"/>
          <w:sz w:val="24"/>
          <w:szCs w:val="24"/>
        </w:rPr>
        <w:t>三是加大网上违法违规行为处置力度。在网上有害信息处置方面。2021年以来，为营造风清气正的未成年人网络环境，防范未成年人手机沉迷，我部充分发挥技术能力优势，配合宣传、网信、公安等部门定位溯源涉及违法有害信息传播的互联网应用8.2万个，技术处置传播色情、暴力、赌博等信息的违规网站1.8万个、违规网络视频和直播APP 326个、网络游戏APP 88个，特别是社会反映强烈的网络直播视频教唆、引诱未成年人的情况得到有效遏制。在用户个人信息保护方面。持续开展APP侵害用户权益专项整治，建设技术检测平台，提高检测能力，加大督查力度。2021年以来，共检测13批次236万款APP，下架514款存在违规收集个人信息、欺骗误导强迫用户等问题的APP。督促“跳跳舞蹈”“虎牙直播”“TT语音”等网络游戏、网络直播、网络视频APP整改，切实维护未成年人用户合法权益。在电信网络诈骗治理方面。加强行业源头治理和综合治理，部署开展“断卡行动2.0”“打猫（池）行动”等专项工作，建设完善涉诈电话、短信等技术反制能力。</w:t>
      </w:r>
    </w:p>
    <w:p>
      <w:pPr>
        <w:spacing w:line="360" w:lineRule="auto"/>
        <w:ind w:left="0" w:leftChars="0" w:firstLine="638" w:firstLineChars="266"/>
        <w:rPr>
          <w:rFonts w:hint="eastAsia" w:ascii="宋体" w:hAnsi="宋体" w:eastAsia="宋体" w:cs="宋体"/>
          <w:b w:val="0"/>
          <w:bCs w:val="0"/>
          <w:sz w:val="24"/>
          <w:szCs w:val="24"/>
        </w:rPr>
      </w:pPr>
      <w:bookmarkStart w:id="17" w:name="No20_T3"/>
      <w:bookmarkEnd w:id="17"/>
      <w:r>
        <w:rPr>
          <w:rFonts w:hint="eastAsia" w:ascii="宋体" w:hAnsi="宋体" w:eastAsia="宋体" w:cs="宋体"/>
          <w:b w:val="0"/>
          <w:bCs w:val="0"/>
          <w:sz w:val="24"/>
          <w:szCs w:val="24"/>
        </w:rPr>
        <w:t>三</w:t>
      </w:r>
      <w:bookmarkStart w:id="18" w:name="No21_T3K1"/>
      <w:bookmarkEnd w:id="18"/>
      <w:r>
        <w:rPr>
          <w:rFonts w:hint="eastAsia" w:ascii="宋体" w:hAnsi="宋体" w:eastAsia="宋体" w:cs="宋体"/>
          <w:b w:val="0"/>
          <w:bCs w:val="0"/>
          <w:sz w:val="24"/>
          <w:szCs w:val="24"/>
        </w:rPr>
        <w:t>、下一步工作举措</w:t>
      </w:r>
    </w:p>
    <w:p>
      <w:pPr>
        <w:spacing w:line="360" w:lineRule="auto"/>
        <w:ind w:left="0" w:leftChars="0" w:firstLine="638" w:firstLineChars="266"/>
        <w:rPr>
          <w:rFonts w:hint="eastAsia" w:ascii="宋体" w:hAnsi="宋体" w:eastAsia="宋体" w:cs="宋体"/>
          <w:b w:val="0"/>
          <w:bCs w:val="0"/>
          <w:sz w:val="24"/>
          <w:szCs w:val="24"/>
        </w:rPr>
      </w:pPr>
      <w:bookmarkStart w:id="19" w:name="No22"/>
      <w:bookmarkEnd w:id="19"/>
      <w:r>
        <w:rPr>
          <w:rFonts w:hint="eastAsia" w:ascii="宋体" w:hAnsi="宋体" w:eastAsia="宋体" w:cs="宋体"/>
          <w:b w:val="0"/>
          <w:bCs w:val="0"/>
          <w:sz w:val="24"/>
          <w:szCs w:val="24"/>
        </w:rPr>
        <w:t>我部将进一步发挥行业管理、产业引导和技术能力优势，主动作为，加强与网信、教育等部门的协同配合，持续做好未成年人网络保护相关工作。</w:t>
      </w:r>
    </w:p>
    <w:p>
      <w:pPr>
        <w:spacing w:line="360" w:lineRule="auto"/>
        <w:ind w:left="0" w:leftChars="0" w:firstLine="638" w:firstLineChars="266"/>
        <w:rPr>
          <w:rFonts w:hint="eastAsia" w:ascii="宋体" w:hAnsi="宋体" w:eastAsia="宋体" w:cs="宋体"/>
          <w:b w:val="0"/>
          <w:bCs w:val="0"/>
          <w:sz w:val="24"/>
          <w:szCs w:val="24"/>
        </w:rPr>
      </w:pPr>
      <w:bookmarkStart w:id="20" w:name="No23_D1"/>
      <w:bookmarkEnd w:id="20"/>
      <w:r>
        <w:rPr>
          <w:rFonts w:hint="eastAsia" w:ascii="宋体" w:hAnsi="宋体" w:eastAsia="宋体" w:cs="宋体"/>
          <w:b w:val="0"/>
          <w:bCs w:val="0"/>
          <w:sz w:val="24"/>
          <w:szCs w:val="24"/>
        </w:rPr>
        <w:t>（一）强化终端技术储备，做好标准化工作</w:t>
      </w:r>
    </w:p>
    <w:p>
      <w:pPr>
        <w:spacing w:line="360" w:lineRule="auto"/>
        <w:ind w:left="0" w:leftChars="0" w:firstLine="638" w:firstLineChars="266"/>
        <w:rPr>
          <w:rFonts w:hint="eastAsia" w:ascii="宋体" w:hAnsi="宋体" w:eastAsia="宋体" w:cs="宋体"/>
          <w:b w:val="0"/>
          <w:bCs w:val="0"/>
          <w:sz w:val="24"/>
          <w:szCs w:val="24"/>
        </w:rPr>
      </w:pPr>
      <w:bookmarkStart w:id="21" w:name="No24"/>
      <w:bookmarkEnd w:id="21"/>
      <w:r>
        <w:rPr>
          <w:rFonts w:hint="eastAsia" w:ascii="宋体" w:hAnsi="宋体" w:eastAsia="宋体" w:cs="宋体"/>
          <w:b w:val="0"/>
          <w:bCs w:val="0"/>
          <w:sz w:val="24"/>
          <w:szCs w:val="24"/>
        </w:rPr>
        <w:t>指导中国信息通信研究院、电信终端产业协会（TAF）等积极与有关部门、单位、企业协调对接，引导终端行业持续做好未成年人适用智能终端、未成年人网络保护功能等相关产品技术的跟踪研发，积极推进相关标准化工作。推动移动智能终端未成年人保护相关团体、行业标准上升为国家标准。指导TAF依据相关标准开展第三方测评。</w:t>
      </w:r>
    </w:p>
    <w:p>
      <w:pPr>
        <w:spacing w:line="360" w:lineRule="auto"/>
        <w:ind w:left="0" w:leftChars="0" w:firstLine="638" w:firstLineChars="266"/>
        <w:rPr>
          <w:rFonts w:hint="eastAsia" w:ascii="宋体" w:hAnsi="宋体" w:eastAsia="宋体" w:cs="宋体"/>
          <w:b w:val="0"/>
          <w:bCs w:val="0"/>
          <w:sz w:val="24"/>
          <w:szCs w:val="24"/>
        </w:rPr>
      </w:pPr>
      <w:bookmarkStart w:id="22" w:name="No25_D2"/>
      <w:bookmarkEnd w:id="22"/>
      <w:r>
        <w:rPr>
          <w:rFonts w:hint="eastAsia" w:ascii="宋体" w:hAnsi="宋体" w:eastAsia="宋体" w:cs="宋体"/>
          <w:b w:val="0"/>
          <w:bCs w:val="0"/>
          <w:sz w:val="24"/>
          <w:szCs w:val="24"/>
        </w:rPr>
        <w:t>（二）强化软件产业引导，做好软件安全监管</w:t>
      </w:r>
    </w:p>
    <w:p>
      <w:pPr>
        <w:spacing w:line="360" w:lineRule="auto"/>
        <w:ind w:left="0" w:leftChars="0" w:firstLine="638" w:firstLineChars="266"/>
        <w:rPr>
          <w:rFonts w:hint="eastAsia" w:ascii="宋体" w:hAnsi="宋体" w:eastAsia="宋体" w:cs="宋体"/>
          <w:b w:val="0"/>
          <w:bCs w:val="0"/>
          <w:sz w:val="24"/>
          <w:szCs w:val="24"/>
        </w:rPr>
      </w:pPr>
      <w:bookmarkStart w:id="23" w:name="No26"/>
      <w:bookmarkEnd w:id="23"/>
      <w:r>
        <w:rPr>
          <w:rFonts w:hint="eastAsia" w:ascii="宋体" w:hAnsi="宋体" w:eastAsia="宋体" w:cs="宋体"/>
          <w:b w:val="0"/>
          <w:bCs w:val="0"/>
          <w:sz w:val="24"/>
          <w:szCs w:val="24"/>
        </w:rPr>
        <w:t>持续鼓励相关软件企业主动对接监管政策要求和学校、家长等市场需求，推动支持未成年人网络保护专用软件开发及应用推广。同时，立足电信行业监管，加强计算机、手机终端应用软件的安全威胁监测和漏洞管理，严肃查处违法违规企业，促进软件产业的健康持续发展。</w:t>
      </w:r>
    </w:p>
    <w:p>
      <w:pPr>
        <w:spacing w:line="360" w:lineRule="auto"/>
        <w:ind w:left="0" w:leftChars="0" w:firstLine="638" w:firstLineChars="266"/>
        <w:rPr>
          <w:rFonts w:hint="eastAsia" w:ascii="宋体" w:hAnsi="宋体" w:eastAsia="宋体" w:cs="宋体"/>
          <w:b w:val="0"/>
          <w:bCs w:val="0"/>
          <w:sz w:val="24"/>
          <w:szCs w:val="24"/>
        </w:rPr>
      </w:pPr>
      <w:bookmarkStart w:id="24" w:name="No27_D3"/>
      <w:bookmarkEnd w:id="24"/>
      <w:r>
        <w:rPr>
          <w:rFonts w:hint="eastAsia" w:ascii="宋体" w:hAnsi="宋体" w:eastAsia="宋体" w:cs="宋体"/>
          <w:b w:val="0"/>
          <w:bCs w:val="0"/>
          <w:sz w:val="24"/>
          <w:szCs w:val="24"/>
        </w:rPr>
        <w:t>（三）强化监管能力建设，做好网上违规处置</w:t>
      </w:r>
    </w:p>
    <w:p>
      <w:pPr>
        <w:spacing w:line="360" w:lineRule="auto"/>
        <w:ind w:left="0" w:leftChars="0" w:firstLine="638" w:firstLineChars="266"/>
        <w:rPr>
          <w:rFonts w:hint="eastAsia" w:ascii="宋体" w:hAnsi="宋体" w:eastAsia="宋体" w:cs="宋体"/>
          <w:b w:val="0"/>
          <w:bCs w:val="0"/>
          <w:sz w:val="24"/>
          <w:szCs w:val="24"/>
        </w:rPr>
      </w:pPr>
      <w:bookmarkStart w:id="25" w:name="No28"/>
      <w:bookmarkEnd w:id="25"/>
      <w:r>
        <w:rPr>
          <w:rFonts w:hint="eastAsia" w:ascii="宋体" w:hAnsi="宋体" w:eastAsia="宋体" w:cs="宋体"/>
          <w:b w:val="0"/>
          <w:bCs w:val="0"/>
          <w:sz w:val="24"/>
          <w:szCs w:val="24"/>
        </w:rPr>
        <w:t>立足电信行业监管职责，加强相关专用软件功能开发应用，做好网上违法违规处置：纵深推进APP专项治理，重点加大对违规收集使用未成年用户个人信息等行为的检测和处置力度。深入开展电信诈骗专项治理，不断加强反诈技防体系建设，完善长效制度体系。提升网上定位溯源和依法处置的技术能力，依法处置网络涉赌、涉暴，涉黄等有害信息，以及各类违法违规应用，有效净化青少年网络环境。</w:t>
      </w:r>
    </w:p>
    <w:p>
      <w:pPr>
        <w:spacing w:line="360" w:lineRule="auto"/>
        <w:ind w:left="0" w:leftChars="0" w:firstLine="638" w:firstLineChars="266"/>
        <w:rPr>
          <w:rFonts w:hint="eastAsia" w:ascii="宋体" w:hAnsi="宋体" w:eastAsia="宋体" w:cs="宋体"/>
          <w:b w:val="0"/>
          <w:bCs w:val="0"/>
          <w:sz w:val="24"/>
          <w:szCs w:val="24"/>
        </w:rPr>
      </w:pPr>
      <w:bookmarkStart w:id="26" w:name="No29_D4"/>
      <w:bookmarkEnd w:id="26"/>
      <w:r>
        <w:rPr>
          <w:rFonts w:hint="eastAsia" w:ascii="宋体" w:hAnsi="宋体" w:eastAsia="宋体" w:cs="宋体"/>
          <w:b w:val="0"/>
          <w:bCs w:val="0"/>
          <w:sz w:val="24"/>
          <w:szCs w:val="24"/>
        </w:rPr>
        <w:t>（四）强化行业指导引导，做好行业自律和公益宣传</w:t>
      </w:r>
    </w:p>
    <w:p>
      <w:pPr>
        <w:spacing w:line="360" w:lineRule="auto"/>
        <w:ind w:left="0" w:leftChars="0" w:firstLine="638" w:firstLineChars="266"/>
        <w:rPr>
          <w:rFonts w:hint="eastAsia" w:ascii="宋体" w:hAnsi="宋体" w:eastAsia="宋体" w:cs="宋体"/>
          <w:b w:val="0"/>
          <w:bCs w:val="0"/>
          <w:sz w:val="24"/>
          <w:szCs w:val="24"/>
        </w:rPr>
      </w:pPr>
      <w:bookmarkStart w:id="27" w:name="No30"/>
      <w:bookmarkEnd w:id="27"/>
      <w:r>
        <w:rPr>
          <w:rFonts w:hint="eastAsia" w:ascii="宋体" w:hAnsi="宋体" w:eastAsia="宋体" w:cs="宋体"/>
          <w:b w:val="0"/>
          <w:bCs w:val="0"/>
          <w:sz w:val="24"/>
          <w:szCs w:val="24"/>
        </w:rPr>
        <w:t>依托TAF、中国互联网协会、软件行业协会等行业组织指导智能终端企业、互联网企业、软件企业制定针对未成年人网络保护的自律公约，形成统一的网络防沉迷行业行为准则，自觉抵制违法违规行为并接受社会监督。配合开展相关公益宣传活动，鼓励和引导未成年人合理使用手机、计算机等智能终端设备，维护全行业健康发展环境。</w:t>
      </w:r>
    </w:p>
    <w:p>
      <w:pPr>
        <w:spacing w:line="360" w:lineRule="auto"/>
        <w:ind w:left="0" w:leftChars="0" w:firstLine="638" w:firstLineChars="266"/>
        <w:rPr>
          <w:rFonts w:hint="eastAsia" w:ascii="宋体" w:hAnsi="宋体" w:eastAsia="宋体" w:cs="宋体"/>
          <w:b w:val="0"/>
          <w:bCs w:val="0"/>
          <w:sz w:val="24"/>
          <w:szCs w:val="24"/>
        </w:rPr>
      </w:pPr>
      <w:bookmarkStart w:id="28" w:name="No31"/>
      <w:bookmarkEnd w:id="28"/>
      <w:r>
        <w:rPr>
          <w:rFonts w:hint="eastAsia" w:ascii="宋体" w:hAnsi="宋体" w:eastAsia="宋体" w:cs="宋体"/>
          <w:b w:val="0"/>
          <w:bCs w:val="0"/>
          <w:sz w:val="24"/>
          <w:szCs w:val="24"/>
        </w:rPr>
        <w:t>感谢您对未成年人网络保护软件功能开发应用工作的关心和支持。</w:t>
      </w:r>
    </w:p>
    <w:p>
      <w:pPr>
        <w:spacing w:line="360" w:lineRule="auto"/>
        <w:ind w:left="0" w:leftChars="0" w:firstLine="638" w:firstLineChars="266"/>
        <w:rPr>
          <w:rFonts w:hint="eastAsia" w:ascii="宋体" w:hAnsi="宋体" w:eastAsia="宋体" w:cs="宋体"/>
          <w:b w:val="0"/>
          <w:bCs w:val="0"/>
          <w:sz w:val="24"/>
          <w:szCs w:val="24"/>
        </w:rPr>
      </w:pPr>
    </w:p>
    <w:bookmarkEnd w:id="2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5M2YxOTFlMWYxY2NlNGNiZDAwZGViMTY4MTRhNGYifQ=="/>
  </w:docVars>
  <w:rsids>
    <w:rsidRoot w:val="24B42181"/>
    <w:rsid w:val="030507C4"/>
    <w:rsid w:val="14AF6ECB"/>
    <w:rsid w:val="24B42181"/>
    <w:rsid w:val="27224DB6"/>
    <w:rsid w:val="3EFB5F99"/>
    <w:rsid w:val="44506B57"/>
    <w:rsid w:val="4B2B4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563C1"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3125</Words>
  <Characters>3504</Characters>
  <Lines>0</Lines>
  <Paragraphs>0</Paragraphs>
  <TotalTime>6</TotalTime>
  <ScaleCrop>false</ScaleCrop>
  <LinksUpToDate>false</LinksUpToDate>
  <CharactersWithSpaces>3506</CharactersWithSpaces>
  <Application>WPS Office_4.2.1.6793_F1E327BC-269C-435d-A152-05C5408002CA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2022-08-30T18:03:00Z</dcterms:created>
  <dc:creator>陈海英</dc:creator>
  <cp:lastModifiedBy>Christina</cp:lastModifiedBy>
  <dcterms:modified xsi:type="dcterms:W3CDTF">2022-08-30T19:03:27Z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2052-4.2.1.6793</vt:lpwstr>
  </property>
  <property fmtid="{D5CDD505-2E9C-101B-9397-08002B2CF9AE}" pid="3" name="ICV">
    <vt:lpwstr>06AF371060CB4CA5ACDAC0573E290658</vt:lpwstr>
  </property>
</Properties>
</file>