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rPr>
          <w:rFonts w:hint="default" w:ascii="宋体" w:hAnsi="宋体" w:eastAsia="宋体" w:cs="宋体"/>
          <w:b/>
          <w:bCs/>
          <w:sz w:val="32"/>
          <w:szCs w:val="32"/>
          <w:lang w:val="en-US" w:eastAsia="zh-Hans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【</w:t>
      </w:r>
      <w:r>
        <w:rPr>
          <w:rFonts w:hint="eastAsia" w:ascii="宋体" w:hAnsi="宋体" w:eastAsia="宋体" w:cs="宋体"/>
          <w:b/>
          <w:bCs/>
          <w:sz w:val="32"/>
          <w:szCs w:val="32"/>
          <w:lang w:eastAsia="zh-Hans"/>
        </w:rPr>
        <w:t>业务综述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】</w:t>
      </w:r>
      <w:r>
        <w:rPr>
          <w:rFonts w:hint="eastAsia" w:ascii="宋体" w:hAnsi="宋体" w:eastAsia="宋体" w:cs="宋体"/>
          <w:b/>
          <w:bCs/>
          <w:sz w:val="32"/>
          <w:szCs w:val="32"/>
          <w:lang w:eastAsia="zh-Hans"/>
        </w:rPr>
        <w:t>“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Hans"/>
        </w:rPr>
        <w:t>税务法律服务</w:t>
      </w:r>
      <w:r>
        <w:rPr>
          <w:rFonts w:hint="eastAsia" w:ascii="宋体" w:hAnsi="宋体" w:eastAsia="宋体" w:cs="宋体"/>
          <w:b/>
          <w:bCs/>
          <w:sz w:val="32"/>
          <w:szCs w:val="32"/>
          <w:lang w:eastAsia="zh-Hans"/>
        </w:rPr>
        <w:t>”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Hans"/>
        </w:rPr>
        <w:t>系列之“股权涉税研讨会”</w:t>
      </w:r>
    </w:p>
    <w:p>
      <w:pPr>
        <w:jc w:val="center"/>
        <w:rPr>
          <w:sz w:val="44"/>
          <w:szCs w:val="44"/>
          <w:lang w:eastAsia="zh-Hans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助力精专税务律师培养，带动税务律师领域服务发展，聚焦税务律师核心业务，“税务法律服务”系列讲座紧扣前沿实务，包括但不限于税务稽查应对、税务争议解决、涉税刑事案件辩护、税务架构安排、投资并购专项税务筹划、破产重整涉税处理、企业税务合规管理、高净值人士税法服务等领域专题培训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Han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Hans"/>
        </w:rPr>
        <w:t>2023年6月9日下午，</w:t>
      </w:r>
      <w:r>
        <w:rPr>
          <w:rFonts w:hint="eastAsia" w:ascii="仿宋_GB2312" w:hAnsi="仿宋_GB2312" w:eastAsia="仿宋_GB2312" w:cs="仿宋_GB2312"/>
          <w:sz w:val="32"/>
          <w:szCs w:val="32"/>
        </w:rPr>
        <w:t>由</w:t>
      </w:r>
      <w:r>
        <w:rPr>
          <w:rFonts w:hint="eastAsia" w:ascii="仿宋_GB2312" w:hAnsi="仿宋_GB2312" w:eastAsia="仿宋_GB2312" w:cs="仿宋_GB2312"/>
          <w:sz w:val="32"/>
          <w:szCs w:val="32"/>
          <w:lang w:eastAsia="zh-Hans"/>
        </w:rPr>
        <w:t>第十一届</w:t>
      </w:r>
      <w:r>
        <w:rPr>
          <w:rFonts w:hint="eastAsia" w:ascii="仿宋_GB2312" w:hAnsi="仿宋_GB2312" w:eastAsia="仿宋_GB2312" w:cs="仿宋_GB2312"/>
          <w:sz w:val="32"/>
          <w:szCs w:val="32"/>
        </w:rPr>
        <w:t>市</w:t>
      </w:r>
      <w:r>
        <w:rPr>
          <w:rFonts w:hint="eastAsia" w:ascii="仿宋_GB2312" w:hAnsi="仿宋_GB2312" w:eastAsia="仿宋_GB2312" w:cs="仿宋_GB2312"/>
          <w:sz w:val="32"/>
          <w:szCs w:val="32"/>
          <w:lang w:eastAsia="zh-Hans"/>
        </w:rPr>
        <w:t>律协</w:t>
      </w:r>
      <w:r>
        <w:rPr>
          <w:rFonts w:hint="eastAsia" w:ascii="仿宋_GB2312" w:hAnsi="仿宋_GB2312" w:eastAsia="仿宋_GB2312" w:cs="仿宋_GB2312"/>
          <w:sz w:val="32"/>
          <w:szCs w:val="32"/>
        </w:rPr>
        <w:t>税务法律专业委员会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Hans"/>
        </w:rPr>
        <w:t>主</w:t>
      </w:r>
      <w:r>
        <w:rPr>
          <w:rFonts w:hint="eastAsia" w:ascii="仿宋_GB2312" w:hAnsi="仿宋_GB2312" w:eastAsia="仿宋_GB2312" w:cs="仿宋_GB2312"/>
          <w:sz w:val="32"/>
          <w:szCs w:val="32"/>
        </w:rPr>
        <w:t>办</w:t>
      </w:r>
      <w:r>
        <w:rPr>
          <w:rFonts w:hint="eastAsia" w:ascii="仿宋_GB2312" w:hAnsi="仿宋_GB2312" w:eastAsia="仿宋_GB2312" w:cs="仿宋_GB2312"/>
          <w:sz w:val="32"/>
          <w:szCs w:val="32"/>
          <w:lang w:eastAsia="zh-Hans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Hans"/>
        </w:rPr>
        <w:t>北京中银（深圳）律师事务所承办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Hans"/>
        </w:rPr>
        <w:t>“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Hans"/>
        </w:rPr>
        <w:t>税务法律服务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Hans"/>
        </w:rPr>
        <w:t>”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Hans"/>
        </w:rPr>
        <w:t>系列之“股权涉税研讨会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”</w:t>
      </w:r>
      <w:r>
        <w:rPr>
          <w:rFonts w:hint="eastAsia" w:ascii="仿宋_GB2312" w:hAnsi="仿宋_GB2312" w:eastAsia="仿宋_GB2312" w:cs="仿宋_GB2312"/>
          <w:sz w:val="32"/>
          <w:szCs w:val="32"/>
        </w:rPr>
        <w:t>专业研讨会</w:t>
      </w:r>
      <w:r>
        <w:rPr>
          <w:rFonts w:hint="eastAsia" w:ascii="仿宋_GB2312" w:hAnsi="仿宋_GB2312" w:eastAsia="仿宋_GB2312" w:cs="仿宋_GB2312"/>
          <w:sz w:val="32"/>
          <w:szCs w:val="32"/>
          <w:lang w:eastAsia="zh-Hans"/>
        </w:rPr>
        <w:t>顺利举行，本次研讨会采取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Hans"/>
        </w:rPr>
        <w:t>线下、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Hans"/>
        </w:rPr>
        <w:t>线上的方式。本次会议</w:t>
      </w:r>
      <w:r>
        <w:rPr>
          <w:rFonts w:hint="eastAsia" w:ascii="仿宋_GB2312" w:hAnsi="仿宋_GB2312" w:eastAsia="仿宋_GB2312" w:cs="仿宋_GB2312"/>
          <w:sz w:val="32"/>
          <w:szCs w:val="32"/>
        </w:rPr>
        <w:t>由税务委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Hans"/>
        </w:rPr>
        <w:t>员北京中银（深圳）律师事务所权益合伙人郑伟明律师、广东华商律师事务所合伙人贺洪雷律师</w:t>
      </w:r>
      <w:r>
        <w:rPr>
          <w:rFonts w:hint="eastAsia" w:ascii="仿宋_GB2312" w:hAnsi="仿宋_GB2312" w:eastAsia="仿宋_GB2312" w:cs="仿宋_GB2312"/>
          <w:sz w:val="32"/>
          <w:szCs w:val="32"/>
        </w:rPr>
        <w:t>主讲，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Hans"/>
        </w:rPr>
        <w:t>由郑伟明律师</w:t>
      </w:r>
      <w:r>
        <w:rPr>
          <w:rFonts w:hint="eastAsia" w:ascii="仿宋_GB2312" w:hAnsi="仿宋_GB2312" w:eastAsia="仿宋_GB2312" w:cs="仿宋_GB2312"/>
          <w:sz w:val="32"/>
          <w:szCs w:val="32"/>
          <w:lang w:eastAsia="zh-Hans"/>
        </w:rPr>
        <w:t>主持，会议吸引了对涉税业务感兴趣的律师参加，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Hans"/>
        </w:rPr>
        <w:t>郑伟明、贺洪雷律师</w:t>
      </w:r>
      <w:r>
        <w:rPr>
          <w:rFonts w:hint="eastAsia" w:ascii="仿宋_GB2312" w:hAnsi="仿宋_GB2312" w:eastAsia="仿宋_GB2312" w:cs="仿宋_GB2312"/>
          <w:sz w:val="32"/>
          <w:szCs w:val="32"/>
        </w:rPr>
        <w:t>从以下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Hans"/>
        </w:rPr>
        <w:t>两</w:t>
      </w:r>
      <w:r>
        <w:rPr>
          <w:rFonts w:hint="eastAsia" w:ascii="仿宋_GB2312" w:hAnsi="仿宋_GB2312" w:eastAsia="仿宋_GB2312" w:cs="仿宋_GB2312"/>
          <w:sz w:val="32"/>
          <w:szCs w:val="32"/>
        </w:rPr>
        <w:t>个方面展开本次研讨会的内容，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Hans"/>
        </w:rPr>
        <w:t>现将研讨会内容综述如下：</w:t>
      </w:r>
    </w:p>
    <w:p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Hans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Hans"/>
        </w:rPr>
        <w:t>一、股权转让环节的税务合规应提前安排</w:t>
      </w:r>
    </w:p>
    <w:p>
      <w:pPr>
        <w:pStyle w:val="3"/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郑明伟律师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Hans" w:bidi="ar-SA"/>
        </w:rPr>
        <w:t>主讲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主题为《股权涉税研讨会之一:一个失败的案例》，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Hans" w:bidi="ar-SA"/>
        </w:rPr>
        <w:t>某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上市公司筹划收购合伙企业的股权，在这个过程中，涉及到了股东个人所得税问题。虽然该上市公司在收购的过程中对每一步骤都进行了筹划公示，但还是考虑不周，存在三大错误：</w:t>
      </w:r>
    </w:p>
    <w:p>
      <w:pPr>
        <w:pStyle w:val="3"/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1、没有代持协议、没有备案沟通，第一次转让价格低，存在被核定征收的风险；</w:t>
      </w:r>
    </w:p>
    <w:p>
      <w:pPr>
        <w:pStyle w:val="3"/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2、有对赌，但没有预留可以用于税款返还的解除条款；</w:t>
      </w:r>
    </w:p>
    <w:p>
      <w:pPr>
        <w:pStyle w:val="3"/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3、与当地税局没有沟通好，核定征收失败，个人所得税税率从20%增加到35%；</w:t>
      </w:r>
    </w:p>
    <w:p>
      <w:pPr>
        <w:pStyle w:val="3"/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案例分享完后，与会人员围绕着“《财政部、国家税务总局关于企业重组业务企业所得税处理若干问题的通知》（财税〔2009〕59号）第五条规定”，对案例中的“上市公司收购股权如何进行筹划更合适”进行了深入探讨、各抒己见，提出了很多建议。</w:t>
      </w:r>
    </w:p>
    <w:p>
      <w:pPr>
        <w:pStyle w:val="3"/>
        <w:ind w:firstLine="643" w:firstLineChars="200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Hans" w:bidi="ar-SA"/>
        </w:rPr>
        <w:t>二、股权架构的税务筹划应根据公司的资本战略确定</w:t>
      </w:r>
    </w:p>
    <w:p>
      <w:pPr>
        <w:pStyle w:val="3"/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贺洪雷律师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Hans" w:bidi="ar-SA"/>
        </w:rPr>
        <w:t>的主讲主题为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《股权架构涉及的税务筹划》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Hans" w:bidi="ar-SA"/>
        </w:rPr>
        <w:t>，股权架构的基本思路是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以自然人、公司、合伙企业的所得税税负差异为基础，结合实际控制人中长期的业务发展规划及资本战略，灵活设计股权架构，实现合规节税以及实际控制人对公司的控制。</w:t>
      </w:r>
    </w:p>
    <w:p>
      <w:pPr>
        <w:pStyle w:val="3"/>
        <w:ind w:firstLine="640" w:firstLineChars="200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Hans" w:bidi="ar-SA"/>
        </w:rPr>
        <w:t>贺律师指出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股权架构主要考虑三大基本要素：股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Hans" w:bidi="ar-SA"/>
        </w:rPr>
        <w:t>东结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构、股权比例、股权规则。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Hans" w:bidi="ar-SA"/>
        </w:rPr>
        <w:t>公司的股东结构包括创始人、合伙人、高管员工、投资人、资源方，以及应当考虑的“隐形大股东”税务局，由于“隐形大股东”的存在，公司若存在违法或违规的行为，则会面临稽核、制裁等后果，因此，公司在日常经营中应当保持合法合规地作税务统筹，不得触碰法律底线。</w:t>
      </w:r>
    </w:p>
    <w:p>
      <w:pPr>
        <w:pStyle w:val="3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Hans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股权比例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Hans" w:bidi="ar-SA"/>
        </w:rPr>
        <w:t>及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股权规则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Hans" w:bidi="ar-SA"/>
        </w:rPr>
        <w:t>主要是从实现实际控制人对公司的控制的角度，在股权比例及股权规则的安排方面，侧重考虑实际控制人对公司实际控制的目的。</w:t>
      </w:r>
    </w:p>
    <w:p>
      <w:pPr>
        <w:pStyle w:val="3"/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贺律师就股权架构进行了深入分析，从直接架构和间接架构两方面进行了涉税后果的比较。其中直接架构股权可能带来的税务后果有分红缴个税、转增缴个税、再投资受阻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Hans" w:bidi="ar-SA"/>
        </w:rPr>
        <w:t>等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；间接架构股权可能带来的税务后果有分红免税、转增免税、买股套现成本高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Hans" w:bidi="ar-SA"/>
        </w:rPr>
        <w:t>等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。两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Hans" w:bidi="ar-SA"/>
        </w:rPr>
        <w:t>钟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方式各有优劣，股权架构没有最好的，只有最适合的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Hans" w:bidi="ar-SA"/>
        </w:rPr>
        <w:t>，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不考虑资本战略的股权设计都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Hans" w:bidi="ar-SA"/>
        </w:rPr>
        <w:t>存在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缺陷，股权架构应结合公司的发展状况及实控人的资本战略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Hans" w:bidi="ar-SA"/>
        </w:rPr>
        <w:t>确定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。</w:t>
      </w:r>
      <w:bookmarkStart w:id="0" w:name="_GoBack"/>
      <w:bookmarkEnd w:id="0"/>
    </w:p>
    <w:p>
      <w:pPr>
        <w:pStyle w:val="3"/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Hans" w:bidi="ar-SA"/>
        </w:rPr>
        <w:t>在讨论环节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顾问任律师正勇点睛式地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Hans" w:bidi="ar-SA"/>
        </w:rPr>
        <w:t>指出：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在股权架构方面，没有放之四海而皆准的模式，只有根据客户的具体情况，定身量造合适方案，这就突出律师专业性的重要。</w:t>
      </w:r>
    </w:p>
    <w:p>
      <w:pPr>
        <w:ind w:firstLine="640" w:firstLineChars="200"/>
        <w:rPr>
          <w:sz w:val="32"/>
          <w:szCs w:val="32"/>
          <w:lang w:eastAsia="zh-Hans"/>
        </w:rPr>
      </w:pPr>
    </w:p>
    <w:p>
      <w:pPr>
        <w:ind w:firstLine="64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（与会者观点仅代表自己的观点，并不代表律协观点）</w:t>
      </w:r>
    </w:p>
    <w:p>
      <w:pPr>
        <w:ind w:firstLine="64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Hans" w:bidi="ar-SA"/>
        </w:rPr>
      </w:pPr>
    </w:p>
    <w:p>
      <w:pPr>
        <w:ind w:firstLine="64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供稿：第十一届深圳律协税务委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Hans" w:bidi="ar-SA"/>
        </w:rPr>
        <w:t>贺洪雷、郑伟明、陈华霭</w:t>
      </w:r>
    </w:p>
    <w:p>
      <w:pPr>
        <w:ind w:firstLine="64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>
      <w:pPr>
        <w:ind w:firstLine="64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附件一 会议照片：</w:t>
      </w:r>
    </w:p>
    <w:p>
      <w:pPr>
        <w:ind w:firstLine="640"/>
        <w:rPr>
          <w:sz w:val="32"/>
          <w:szCs w:val="32"/>
        </w:rPr>
      </w:pPr>
    </w:p>
    <w:p>
      <w:pPr>
        <w:rPr>
          <w:sz w:val="32"/>
          <w:szCs w:val="32"/>
        </w:rPr>
      </w:pPr>
    </w:p>
    <w:p>
      <w:pPr>
        <w:ind w:firstLine="640"/>
        <w:rPr>
          <w:sz w:val="32"/>
          <w:szCs w:val="32"/>
        </w:rPr>
      </w:pPr>
    </w:p>
    <w:p>
      <w:pPr>
        <w:ind w:firstLine="640"/>
        <w:rPr>
          <w:sz w:val="32"/>
          <w:szCs w:val="32"/>
        </w:rPr>
      </w:pPr>
    </w:p>
    <w:p>
      <w:pPr>
        <w:ind w:firstLine="640"/>
        <w:rPr>
          <w:sz w:val="32"/>
          <w:szCs w:val="32"/>
        </w:rPr>
      </w:pPr>
    </w:p>
    <w:p>
      <w:pPr>
        <w:rPr>
          <w:rFonts w:hint="default"/>
        </w:rPr>
      </w:pPr>
      <w:r>
        <w:rPr>
          <w:rFonts w:hint="default"/>
        </w:rPr>
        <w:drawing>
          <wp:inline distT="0" distB="0" distL="114300" distR="114300">
            <wp:extent cx="5253990" cy="3502025"/>
            <wp:effectExtent l="0" t="0" r="3810" b="3175"/>
            <wp:docPr id="2" name="图片 2" descr="71686532151_.pic_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71686532151_.pic_hd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50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</w:rPr>
        <w:drawing>
          <wp:inline distT="0" distB="0" distL="114300" distR="114300">
            <wp:extent cx="5266690" cy="3509645"/>
            <wp:effectExtent l="0" t="0" r="16510" b="20955"/>
            <wp:docPr id="6" name="图片 6" descr="21686532125_.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1686532125_.pic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0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</w:rPr>
        <w:drawing>
          <wp:inline distT="0" distB="0" distL="114300" distR="114300">
            <wp:extent cx="5253990" cy="3502025"/>
            <wp:effectExtent l="0" t="0" r="3810" b="3175"/>
            <wp:docPr id="4" name="图片 4" descr="51686532139_.pic_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51686532139_.pic_hd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50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</w:rPr>
        <w:drawing>
          <wp:inline distT="0" distB="0" distL="114300" distR="114300">
            <wp:extent cx="5266690" cy="3509645"/>
            <wp:effectExtent l="0" t="0" r="16510" b="20955"/>
            <wp:docPr id="5" name="图片 5" descr="31686532126_.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31686532126_.pic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0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</w:rPr>
        <w:drawing>
          <wp:inline distT="0" distB="0" distL="114300" distR="114300">
            <wp:extent cx="5253990" cy="3502025"/>
            <wp:effectExtent l="0" t="0" r="3810" b="3175"/>
            <wp:docPr id="3" name="图片 3" descr="61686532144_.pic_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61686532144_.pic_hd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50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仿宋_GB2312">
    <w:altName w:val="方正仿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_GBK">
    <w:panose1 w:val="02000000000000000000"/>
    <w:charset w:val="86"/>
    <w:family w:val="auto"/>
    <w:pitch w:val="default"/>
    <w:sig w:usb0="00000000" w:usb1="00000000" w:usb2="00000000" w:usb3="00000000" w:csb0="001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M1w58KgIAAFU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gizZlnY6p3lEToq5u3qGCBgp2sUpVdi0ArT1nVmeBlxnP/cd1GPf4Pl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BYAAABk&#10;cnMvUEsBAhQAFAAAAAgAh07iQLNJWO7QAAAABQEAAA8AAAAAAAAAAQAgAAAAOAAAAGRycy9kb3du&#10;cmV2LnhtbFBLAQIUABQAAAAIAIdO4kCM1w58KgIAAFUEAAAOAAAAAAAAAAEAIAAAADUBAABkcnMv&#10;ZTJvRG9jLnhtbFBLBQYAAAAABgAGAFkBAADR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76741C3"/>
    <w:rsid w:val="59EED7CB"/>
    <w:rsid w:val="5FEC2A1E"/>
    <w:rsid w:val="6757370C"/>
    <w:rsid w:val="F7674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nhideWhenUsed/>
    <w:qFormat/>
    <w:uiPriority w:val="99"/>
    <w:rPr>
      <w:rFonts w:ascii="宋体" w:hAnsi="Courier New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Office_5.4.1.7920_F1E327BC-269C-435d-A152-05C5408002CA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2023-06-12T06:45:00Z</dcterms:created>
  <dc:creator>贺洪雷商事律师</dc:creator>
  <cp:lastModifiedBy>贺洪雷商事律师</cp:lastModifiedBy>
  <dcterms:modified xsi:type="dcterms:W3CDTF">2023-06-12T18:04:43Z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2052-5.4.1.7920</vt:lpwstr>
  </property>
  <property fmtid="{D5CDD505-2E9C-101B-9397-08002B2CF9AE}" pid="3" name="ICV">
    <vt:lpwstr>9CA3FC5734D1F31E1DDE8564171775F3_41</vt:lpwstr>
  </property>
</Properties>
</file>