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74066581"/>
        <w:docPartObj>
          <w:docPartGallery w:val="autotext"/>
        </w:docPartObj>
      </w:sdtPr>
      <w:sdtContent>
        <w:p w14:paraId="64333795">
          <w:pPr>
            <w:spacing w:line="520" w:lineRule="exact"/>
            <w:jc w:val="both"/>
          </w:pPr>
          <w:bookmarkStart w:id="0" w:name="_Toc99303362"/>
        </w:p>
        <w:p w14:paraId="1E828260">
          <w:pPr>
            <w:spacing w:line="520" w:lineRule="exact"/>
            <w:jc w:val="both"/>
          </w:pPr>
        </w:p>
        <w:p w14:paraId="7E8BC600">
          <w:pPr>
            <w:spacing w:line="520" w:lineRule="exact"/>
            <w:jc w:val="both"/>
          </w:pPr>
        </w:p>
        <w:p w14:paraId="142AB79C">
          <w:pPr>
            <w:spacing w:line="520" w:lineRule="exact"/>
            <w:jc w:val="both"/>
          </w:pPr>
        </w:p>
        <w:p w14:paraId="75ECF2E7">
          <w:pPr>
            <w:spacing w:line="520" w:lineRule="exact"/>
            <w:jc w:val="both"/>
          </w:pPr>
        </w:p>
        <w:p w14:paraId="52D104ED">
          <w:pPr>
            <w:spacing w:line="520" w:lineRule="exact"/>
            <w:jc w:val="both"/>
          </w:pPr>
        </w:p>
        <w:p w14:paraId="4CC2E465">
          <w:pPr>
            <w:spacing w:line="520" w:lineRule="exact"/>
            <w:jc w:val="both"/>
          </w:pPr>
        </w:p>
        <w:p w14:paraId="751766E3">
          <w:pPr>
            <w:spacing w:line="520" w:lineRule="exact"/>
            <w:jc w:val="both"/>
          </w:pPr>
        </w:p>
        <w:p w14:paraId="6E385A55">
          <w:pPr>
            <w:spacing w:line="520" w:lineRule="exact"/>
            <w:jc w:val="both"/>
          </w:pPr>
        </w:p>
        <w:p w14:paraId="3DD5181A">
          <w:pPr>
            <w:spacing w:line="520" w:lineRule="exact"/>
            <w:jc w:val="both"/>
          </w:pPr>
        </w:p>
        <w:p w14:paraId="209F940E">
          <w:pPr>
            <w:spacing w:line="520" w:lineRule="exact"/>
            <w:jc w:val="both"/>
          </w:pPr>
        </w:p>
        <w:p w14:paraId="2DBB3C5A">
          <w:pPr>
            <w:spacing w:line="520" w:lineRule="exact"/>
            <w:jc w:val="both"/>
          </w:pPr>
        </w:p>
        <w:p w14:paraId="6B0B8755">
          <w:pPr>
            <w:spacing w:line="520" w:lineRule="exact"/>
            <w:jc w:val="both"/>
          </w:pPr>
        </w:p>
        <w:p w14:paraId="55741C52">
          <w:pPr>
            <w:spacing w:line="520" w:lineRule="exact"/>
            <w:jc w:val="both"/>
          </w:pPr>
        </w:p>
        <w:p w14:paraId="45EBCB5C">
          <w:pPr>
            <w:spacing w:line="520" w:lineRule="exact"/>
            <w:jc w:val="both"/>
          </w:pPr>
        </w:p>
        <w:p w14:paraId="03DD9336">
          <w:pPr>
            <w:spacing w:line="520" w:lineRule="exact"/>
            <w:jc w:val="both"/>
          </w:pPr>
        </w:p>
        <w:p w14:paraId="5BCFAA86">
          <w:pPr>
            <w:spacing w:line="520" w:lineRule="exact"/>
            <w:jc w:val="both"/>
          </w:pPr>
          <w:r>
            <mc:AlternateContent>
              <mc:Choice Requires="wpg">
                <w:drawing>
                  <wp:anchor distT="0" distB="0" distL="114300" distR="114300" simplePos="0" relativeHeight="251661312" behindDoc="0" locked="0" layoutInCell="1" allowOverlap="1">
                    <wp:simplePos x="0" y="0"/>
                    <wp:positionH relativeFrom="page">
                      <wp:posOffset>1401445</wp:posOffset>
                    </wp:positionH>
                    <wp:positionV relativeFrom="page">
                      <wp:posOffset>7315200</wp:posOffset>
                    </wp:positionV>
                    <wp:extent cx="6158865" cy="3373755"/>
                    <wp:effectExtent l="0" t="0" r="0" b="0"/>
                    <wp:wrapNone/>
                    <wp:docPr id="12" name="组合 12" descr="标题: 带裁剪标记图形的作者和公司名称"/>
                    <wp:cNvGraphicFramePr/>
                    <a:graphic xmlns:a="http://schemas.openxmlformats.org/drawingml/2006/main">
                      <a:graphicData uri="http://schemas.microsoft.com/office/word/2010/wordprocessingGroup">
                        <wpg:wgp>
                          <wpg:cNvGrpSpPr/>
                          <wpg:grpSpPr>
                            <a:xfrm>
                              <a:off x="0" y="0"/>
                              <a:ext cx="6158865" cy="3373755"/>
                              <a:chOff x="-14867" y="0"/>
                              <a:chExt cx="61586" cy="33741"/>
                            </a:xfrm>
                          </wpg:grpSpPr>
                          <wpg:grpSp>
                            <wpg:cNvPr id="10" name="组合 8"/>
                            <wpg:cNvGrpSpPr/>
                            <wpg:grpSpPr>
                              <a:xfrm>
                                <a:off x="20383" y="0"/>
                                <a:ext cx="26335" cy="33741"/>
                                <a:chOff x="0" y="0"/>
                                <a:chExt cx="26289" cy="33718"/>
                              </a:xfrm>
                            </wpg:grpSpPr>
                            <wps:wsp>
                              <wps:cNvPr id="8" name="任意多边形 4"/>
                              <wps:cNvSpPr/>
                              <wps:spPr>
                                <a:xfrm>
                                  <a:off x="0" y="0"/>
                                  <a:ext cx="21336" cy="28670"/>
                                </a:xfrm>
                                <a:custGeom>
                                  <a:avLst/>
                                  <a:gdLst/>
                                  <a:ahLst/>
                                  <a:cxnLst>
                                    <a:cxn ang="0">
                                      <a:pos x="2133600" y="2867025"/>
                                    </a:cxn>
                                    <a:cxn ang="0">
                                      <a:pos x="0" y="2867025"/>
                                    </a:cxn>
                                    <a:cxn ang="0">
                                      <a:pos x="0" y="2605088"/>
                                    </a:cxn>
                                    <a:cxn ang="0">
                                      <a:pos x="1866900" y="2605088"/>
                                    </a:cxn>
                                    <a:cxn ang="0">
                                      <a:pos x="1866900" y="0"/>
                                    </a:cxn>
                                    <a:cxn ang="0">
                                      <a:pos x="2133600" y="0"/>
                                    </a:cxn>
                                    <a:cxn ang="0">
                                      <a:pos x="2133600" y="2867025"/>
                                    </a:cxn>
                                  </a:cxnLst>
                                  <a:pathLst>
                                    <a:path w="1344" h="1806">
                                      <a:moveTo>
                                        <a:pt x="1344" y="1806"/>
                                      </a:moveTo>
                                      <a:lnTo>
                                        <a:pt x="0" y="1806"/>
                                      </a:lnTo>
                                      <a:lnTo>
                                        <a:pt x="0" y="1641"/>
                                      </a:lnTo>
                                      <a:lnTo>
                                        <a:pt x="1176" y="1641"/>
                                      </a:lnTo>
                                      <a:lnTo>
                                        <a:pt x="1176" y="0"/>
                                      </a:lnTo>
                                      <a:lnTo>
                                        <a:pt x="1344" y="0"/>
                                      </a:lnTo>
                                      <a:lnTo>
                                        <a:pt x="1344" y="1806"/>
                                      </a:lnTo>
                                      <a:close/>
                                    </a:path>
                                  </a:pathLst>
                                </a:custGeom>
                                <a:solidFill>
                                  <a:srgbClr val="44546A"/>
                                </a:solidFill>
                                <a:ln>
                                  <a:noFill/>
                                </a:ln>
                              </wps:spPr>
                              <wps:bodyPr upright="1"/>
                            </wps:wsp>
                            <wps:wsp>
                              <wps:cNvPr id="9" name="矩形 7"/>
                              <wps:cNvSpPr/>
                              <wps:spPr>
                                <a:xfrm>
                                  <a:off x="95" y="0"/>
                                  <a:ext cx="26194" cy="33718"/>
                                </a:xfrm>
                                <a:prstGeom prst="rect">
                                  <a:avLst/>
                                </a:prstGeom>
                                <a:noFill/>
                                <a:ln w="12700">
                                  <a:noFill/>
                                </a:ln>
                              </wps:spPr>
                              <wps:bodyPr anchor="ctr" anchorCtr="0" upright="1"/>
                            </wps:wsp>
                          </wpg:grpSp>
                          <wps:wsp>
                            <wps:cNvPr id="11" name="文本框 10"/>
                            <wps:cNvSpPr txBox="1"/>
                            <wps:spPr>
                              <a:xfrm>
                                <a:off x="-14867" y="11047"/>
                                <a:ext cx="53907" cy="15050"/>
                              </a:xfrm>
                              <a:prstGeom prst="rect">
                                <a:avLst/>
                              </a:prstGeom>
                              <a:noFill/>
                              <a:ln w="6350">
                                <a:noFill/>
                              </a:ln>
                            </wps:spPr>
                            <wps:txbx>
                              <w:txbxContent>
                                <w:sdt>
                                  <w:sdtPr>
                                    <w:rPr>
                                      <w:rFonts w:hint="eastAsia"/>
                                      <w:color w:val="44546A" w:themeColor="text2"/>
                                      <w:spacing w:val="10"/>
                                      <w:sz w:val="36"/>
                                      <w:szCs w:val="36"/>
                                      <w14:textFill>
                                        <w14:solidFill>
                                          <w14:schemeClr w14:val="tx2"/>
                                        </w14:solidFill>
                                      </w14:textFill>
                                    </w:rPr>
                                    <w:alias w:val="作者"/>
                                    <w:id w:val="1315378509"/>
                                    <w:dataBinding w:prefixMappings="xmlns:ns0='http://purl.org/dc/elements/1.1/' xmlns:ns1='http://schemas.openxmlformats.org/package/2006/metadata/core-properties' " w:xpath="/ns1:coreProperties[1]/ns0:creator[1]" w:storeItemID="{6C3C8BC8-F283-45AE-878A-BAB7291924A1}"/>
                                    <w:text/>
                                  </w:sdtPr>
                                  <w:sdtEndPr>
                                    <w:rPr>
                                      <w:rFonts w:hint="eastAsia"/>
                                      <w:color w:val="44546A" w:themeColor="text2"/>
                                      <w:spacing w:val="10"/>
                                      <w:sz w:val="36"/>
                                      <w:szCs w:val="36"/>
                                      <w14:textFill>
                                        <w14:solidFill>
                                          <w14:schemeClr w14:val="tx2"/>
                                        </w14:solidFill>
                                      </w14:textFill>
                                    </w:rPr>
                                  </w:sdtEndPr>
                                  <w:sdtContent>
                                    <w:p w14:paraId="6B6892AD">
                                      <w:pPr>
                                        <w:pStyle w:val="40"/>
                                        <w:spacing w:after="240"/>
                                        <w:jc w:val="right"/>
                                        <w:rPr>
                                          <w:color w:val="44546A" w:themeColor="text2"/>
                                          <w:spacing w:val="10"/>
                                          <w:sz w:val="36"/>
                                          <w:szCs w:val="36"/>
                                          <w14:textFill>
                                            <w14:solidFill>
                                              <w14:schemeClr w14:val="tx2"/>
                                            </w14:solidFill>
                                          </w14:textFill>
                                        </w:rPr>
                                      </w:pPr>
                                      <w:r>
                                        <w:rPr>
                                          <w:rFonts w:hint="eastAsia"/>
                                          <w:color w:val="44546A" w:themeColor="text2"/>
                                          <w:spacing w:val="10"/>
                                          <w:sz w:val="36"/>
                                          <w:szCs w:val="36"/>
                                          <w14:textFill>
                                            <w14:solidFill>
                                              <w14:schemeClr w14:val="tx2"/>
                                            </w14:solidFill>
                                          </w14:textFill>
                                        </w:rPr>
                                        <w:t>深圳市律师协会税务法律专业委员会编制</w:t>
                                      </w:r>
                                    </w:p>
                                  </w:sdtContent>
                                </w:sdt>
                              </w:txbxContent>
                            </wps:txbx>
                            <wps:bodyPr lIns="0" tIns="0" rIns="457200" bIns="457200" anchor="b" anchorCtr="0" upright="1"/>
                          </wps:wsp>
                        </wpg:wgp>
                      </a:graphicData>
                    </a:graphic>
                  </wp:anchor>
                </w:drawing>
              </mc:Choice>
              <mc:Fallback>
                <w:pict>
                  <v:group id="_x0000_s1026" o:spid="_x0000_s1026" o:spt="203" alt="标题: 带裁剪标记图形的作者和公司名称" style="position:absolute;left:0pt;margin-left:110.35pt;margin-top:576pt;height:265.65pt;width:484.95pt;mso-position-horizontal-relative:page;mso-position-vertical-relative:page;z-index:251661312;mso-width-relative:page;mso-height-relative:page;" coordorigin="-14867,0" coordsize="61586,33741" o:gfxdata="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">
                    <o:lock v:ext="edit" aspectratio="f"/>
                    <v:group id="组合 8" o:spid="_x0000_s1026" o:spt="203" style="position:absolute;left:20383;top:0;height:33741;width:26335;" coordsize="26289,33718"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shape id="任意多边形 4" o:spid="_x0000_s1026" o:spt="100" style="position:absolute;left:0;top:0;height:28670;width:21336;" fillcolor="#44546A" filled="t" stroked="f" coordsize="1344,1806" o:gfxdata="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MMv/QezAAAA2gAAAA8AAAAA&#10;AAAAAQAgAAAAIgAAAGRycy9kb3ducmV2LnhtbFBLAQIUABQAAAAIAIdO4kAzLwWeOwAAADkAAAAQ&#10;AAAAAAAAAAEAIAAAAAIBAABkcnMvc2hhcGV4bWwueG1sUEsFBgAAAAAGAAYAWwEAAKwDAAAAAA==&#10;" path="m1344,1806l0,1806,0,1641,1176,1641,1176,0,1344,0,1344,1806xe">
                        <v:path o:connectlocs="2133600,2867025;0,2867025;0,2605088;1866900,2605088;1866900,0;2133600,0;2133600,2867025" o:connectangles="0,0,0,0,0,0,0"/>
                        <v:fill on="t" focussize="0,0"/>
                        <v:stroke on="f"/>
                        <v:imagedata o:title=""/>
                        <o:lock v:ext="edit" aspectratio="f"/>
                      </v:shape>
                      <v:rect id="矩形 7" o:spid="_x0000_s1026" o:spt="1" style="position:absolute;left:95;top:0;height:33718;width:26194;v-text-anchor:middle;" filled="f" stroked="f" coordsize="21600,21600" o:gfxdata="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Lza+8AAAA&#10;2gAAAA8AAAAAAAAAAQAgAAAAIgAAAGRycy9kb3ducmV2LnhtbFBLAQIUABQAAAAIAIdO4kAzLwWe&#10;OwAAADkAAAAQAAAAAAAAAAEAIAAAAAsBAABkcnMvc2hhcGV4bWwueG1sUEsFBgAAAAAGAAYAWwEA&#10;ALUDAAAAAA==&#10;">
                        <v:fill on="f" focussize="0,0"/>
                        <v:stroke on="f" weight="1pt"/>
                        <v:imagedata o:title=""/>
                        <o:lock v:ext="edit" aspectratio="f"/>
                      </v:rect>
                    </v:group>
                    <v:shape id="文本框 10" o:spid="_x0000_s1026" o:spt="202" type="#_x0000_t202" style="position:absolute;left:-14867;top:11047;height:15050;width:53907;v-text-anchor:bottom;" filled="f" stroked="f" coordsize="21600,21600" o:gfxdata="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V130NLUAAADbAAAADwAA&#10;AAAAAAABACAAAAAiAAAAZHJzL2Rvd25yZXYueG1sUEsBAhQAFAAAAAgAh07iQDMvBZ47AAAAOQAA&#10;ABAAAAAAAAAAAQAgAAAABAEAAGRycy9zaGFwZXhtbC54bWxQSwUGAAAAAAYABgBbAQAArgMAAAAA&#10;">
                      <v:fill on="f" focussize="0,0"/>
                      <v:stroke on="f" weight="0.5pt"/>
                      <v:imagedata o:title=""/>
                      <o:lock v:ext="edit" aspectratio="f"/>
                      <v:textbox inset="0mm,0mm,12.7mm,12.7mm">
                        <w:txbxContent>
                          <w:sdt>
                            <w:sdtPr>
                              <w:rPr>
                                <w:rFonts w:hint="eastAsia"/>
                                <w:color w:val="44546A" w:themeColor="text2"/>
                                <w:spacing w:val="10"/>
                                <w:sz w:val="36"/>
                                <w:szCs w:val="36"/>
                                <w14:textFill>
                                  <w14:solidFill>
                                    <w14:schemeClr w14:val="tx2"/>
                                  </w14:solidFill>
                                </w14:textFill>
                              </w:rPr>
                              <w:alias w:val="作者"/>
                              <w:id w:val="1315378509"/>
                              <w:dataBinding w:prefixMappings="xmlns:ns0='http://purl.org/dc/elements/1.1/' xmlns:ns1='http://schemas.openxmlformats.org/package/2006/metadata/core-properties' " w:xpath="/ns1:coreProperties[1]/ns0:creator[1]" w:storeItemID="{6C3C8BC8-F283-45AE-878A-BAB7291924A1}"/>
                              <w:text/>
                            </w:sdtPr>
                            <w:sdtEndPr>
                              <w:rPr>
                                <w:rFonts w:hint="eastAsia"/>
                                <w:color w:val="44546A" w:themeColor="text2"/>
                                <w:spacing w:val="10"/>
                                <w:sz w:val="36"/>
                                <w:szCs w:val="36"/>
                                <w14:textFill>
                                  <w14:solidFill>
                                    <w14:schemeClr w14:val="tx2"/>
                                  </w14:solidFill>
                                </w14:textFill>
                              </w:rPr>
                            </w:sdtEndPr>
                            <w:sdtContent>
                              <w:p w14:paraId="6B6892AD">
                                <w:pPr>
                                  <w:pStyle w:val="40"/>
                                  <w:spacing w:after="240"/>
                                  <w:jc w:val="right"/>
                                  <w:rPr>
                                    <w:color w:val="44546A" w:themeColor="text2"/>
                                    <w:spacing w:val="10"/>
                                    <w:sz w:val="36"/>
                                    <w:szCs w:val="36"/>
                                    <w14:textFill>
                                      <w14:solidFill>
                                        <w14:schemeClr w14:val="tx2"/>
                                      </w14:solidFill>
                                    </w14:textFill>
                                  </w:rPr>
                                </w:pPr>
                                <w:r>
                                  <w:rPr>
                                    <w:rFonts w:hint="eastAsia"/>
                                    <w:color w:val="44546A" w:themeColor="text2"/>
                                    <w:spacing w:val="10"/>
                                    <w:sz w:val="36"/>
                                    <w:szCs w:val="36"/>
                                    <w14:textFill>
                                      <w14:solidFill>
                                        <w14:schemeClr w14:val="tx2"/>
                                      </w14:solidFill>
                                    </w14:textFill>
                                  </w:rPr>
                                  <w:t>深圳市律师协会税务法律专业委员会编制</w:t>
                                </w:r>
                              </w:p>
                            </w:sdtContent>
                          </w:sdt>
                        </w:txbxContent>
                      </v:textbox>
                    </v:shape>
                  </v:group>
                </w:pict>
              </mc:Fallback>
            </mc:AlternateContent>
          </w:r>
        </w:p>
        <w:p w14:paraId="2045392A">
          <w:pPr>
            <w:spacing w:line="520" w:lineRule="exact"/>
            <w:jc w:val="both"/>
          </w:pPr>
        </w:p>
        <w:p w14:paraId="3A873486">
          <w:pPr>
            <w:spacing w:line="520" w:lineRule="exact"/>
            <w:jc w:val="both"/>
          </w:pPr>
        </w:p>
        <w:p w14:paraId="03119C57">
          <w:pPr>
            <w:spacing w:line="520" w:lineRule="exact"/>
            <w:jc w:val="both"/>
          </w:pPr>
        </w:p>
        <w:p w14:paraId="76FBFC9C">
          <w:pPr>
            <w:spacing w:line="520" w:lineRule="exact"/>
            <w:jc w:val="both"/>
          </w:pPr>
        </w:p>
        <w:p w14:paraId="43A0DBA4">
          <w:pPr>
            <w:spacing w:line="520" w:lineRule="exact"/>
            <w:jc w:val="both"/>
          </w:pPr>
          <w:bookmarkStart w:id="58" w:name="_GoBack"/>
          <w:bookmarkEnd w:id="58"/>
          <w: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385" cy="3401695"/>
                    <wp:effectExtent l="0" t="0" r="0" b="6985"/>
                    <wp:wrapNone/>
                    <wp:docPr id="7" name="组合 11" descr="标题: 带裁剪标记图形的标题和副标题"/>
                    <wp:cNvGraphicFramePr/>
                    <a:graphic xmlns:a="http://schemas.openxmlformats.org/drawingml/2006/main">
                      <a:graphicData uri="http://schemas.microsoft.com/office/word/2010/wordprocessingGroup">
                        <wpg:wgp>
                          <wpg:cNvGrpSpPr/>
                          <wpg:grpSpPr>
                            <a:xfrm>
                              <a:off x="0" y="0"/>
                              <a:ext cx="6382385" cy="3401695"/>
                              <a:chOff x="0" y="0"/>
                              <a:chExt cx="63817" cy="34015"/>
                            </a:xfrm>
                          </wpg:grpSpPr>
                          <wpg:grpSp>
                            <wpg:cNvPr id="5" name="组合 6"/>
                            <wpg:cNvGrpSpPr/>
                            <wpg:grpSpPr>
                              <a:xfrm>
                                <a:off x="0" y="0"/>
                                <a:ext cx="26426" cy="34015"/>
                                <a:chOff x="0" y="0"/>
                                <a:chExt cx="26426" cy="34015"/>
                              </a:xfrm>
                            </wpg:grpSpPr>
                            <wps:wsp>
                              <wps:cNvPr id="3" name="任意多边形 3"/>
                              <wps:cNvSpPr/>
                              <wps:spPr>
                                <a:xfrm>
                                  <a:off x="5048" y="5048"/>
                                  <a:ext cx="21336" cy="28670"/>
                                </a:xfrm>
                                <a:custGeom>
                                  <a:avLst/>
                                  <a:gdLst/>
                                  <a:ahLst/>
                                  <a:cxnLst>
                                    <a:cxn ang="0">
                                      <a:pos x="266700" y="2867025"/>
                                    </a:cxn>
                                    <a:cxn ang="0">
                                      <a:pos x="0" y="2867025"/>
                                    </a:cxn>
                                    <a:cxn ang="0">
                                      <a:pos x="0" y="0"/>
                                    </a:cxn>
                                    <a:cxn ang="0">
                                      <a:pos x="2133600" y="0"/>
                                    </a:cxn>
                                    <a:cxn ang="0">
                                      <a:pos x="2133600" y="261938"/>
                                    </a:cxn>
                                    <a:cxn ang="0">
                                      <a:pos x="266700" y="261938"/>
                                    </a:cxn>
                                    <a:cxn ang="0">
                                      <a:pos x="266700" y="2867025"/>
                                    </a:cxn>
                                  </a:cxnLst>
                                  <a:pathLst>
                                    <a:path w="1344" h="1806">
                                      <a:moveTo>
                                        <a:pt x="168" y="1806"/>
                                      </a:moveTo>
                                      <a:lnTo>
                                        <a:pt x="0" y="1806"/>
                                      </a:lnTo>
                                      <a:lnTo>
                                        <a:pt x="0" y="0"/>
                                      </a:lnTo>
                                      <a:lnTo>
                                        <a:pt x="1344" y="0"/>
                                      </a:lnTo>
                                      <a:lnTo>
                                        <a:pt x="1344" y="165"/>
                                      </a:lnTo>
                                      <a:lnTo>
                                        <a:pt x="168" y="165"/>
                                      </a:lnTo>
                                      <a:lnTo>
                                        <a:pt x="168" y="1806"/>
                                      </a:lnTo>
                                      <a:close/>
                                    </a:path>
                                  </a:pathLst>
                                </a:custGeom>
                                <a:solidFill>
                                  <a:srgbClr val="44546A"/>
                                </a:solidFill>
                                <a:ln>
                                  <a:noFill/>
                                </a:ln>
                              </wps:spPr>
                              <wps:bodyPr upright="1"/>
                            </wps:wsp>
                            <wps:wsp>
                              <wps:cNvPr id="4" name="矩形 5"/>
                              <wps:cNvSpPr/>
                              <wps:spPr>
                                <a:xfrm>
                                  <a:off x="0" y="0"/>
                                  <a:ext cx="26426" cy="34015"/>
                                </a:xfrm>
                                <a:prstGeom prst="rect">
                                  <a:avLst/>
                                </a:prstGeom>
                                <a:noFill/>
                                <a:ln w="12700">
                                  <a:noFill/>
                                </a:ln>
                              </wps:spPr>
                              <wps:bodyPr anchor="ctr" anchorCtr="0" upright="1"/>
                            </wps:wsp>
                          </wpg:grpSp>
                          <wps:wsp>
                            <wps:cNvPr id="6" name="文本框 9"/>
                            <wps:cNvSpPr txBox="1"/>
                            <wps:spPr>
                              <a:xfrm>
                                <a:off x="7715" y="7620"/>
                                <a:ext cx="56102" cy="25914"/>
                              </a:xfrm>
                              <a:prstGeom prst="rect">
                                <a:avLst/>
                              </a:prstGeom>
                              <a:noFill/>
                              <a:ln w="6350">
                                <a:noFill/>
                              </a:ln>
                            </wps:spPr>
                            <wps:txbx>
                              <w:txbxContent>
                                <w:sdt>
                                  <w:sdtPr>
                                    <w:rPr>
                                      <w:rFonts w:asciiTheme="majorHAnsi" w:hAnsiTheme="majorHAnsi"/>
                                      <w:color w:val="44546A" w:themeColor="text2"/>
                                      <w:spacing w:val="10"/>
                                      <w:sz w:val="36"/>
                                      <w:szCs w:val="36"/>
                                      <w14:textFill>
                                        <w14:solidFill>
                                          <w14:schemeClr w14:val="tx2"/>
                                        </w14:solidFill>
                                      </w14:textFill>
                                    </w:rPr>
                                    <w:alias w:val="副标题"/>
                                    <w:id w:val="1383281298"/>
                                    <w:dataBinding w:prefixMappings="xmlns:ns0='http://purl.org/dc/elements/1.1/' xmlns:ns1='http://schemas.openxmlformats.org/package/2006/metadata/core-properties' " w:xpath="/ns1:coreProperties[1]/ns0:subject[1]" w:storeItemID="{6C3C8BC8-F283-45AE-878A-BAB7291924A1}"/>
                                    <w:text/>
                                  </w:sdtPr>
                                  <w:sdtEndPr>
                                    <w:rPr>
                                      <w:rFonts w:asciiTheme="majorHAnsi" w:hAnsiTheme="majorHAnsi"/>
                                      <w:color w:val="44546A" w:themeColor="text2"/>
                                      <w:spacing w:val="10"/>
                                      <w:sz w:val="36"/>
                                      <w:szCs w:val="36"/>
                                      <w14:textFill>
                                        <w14:solidFill>
                                          <w14:schemeClr w14:val="tx2"/>
                                        </w14:solidFill>
                                      </w14:textFill>
                                    </w:rPr>
                                  </w:sdtEndPr>
                                  <w:sdtContent>
                                    <w:p w14:paraId="54D48BFA">
                                      <w:pPr>
                                        <w:pStyle w:val="40"/>
                                        <w:spacing w:after="240" w:line="216" w:lineRule="auto"/>
                                        <w:rPr>
                                          <w:rFonts w:asciiTheme="majorHAnsi" w:hAnsiTheme="majorHAnsi"/>
                                          <w:color w:val="44546A" w:themeColor="text2"/>
                                          <w:spacing w:val="10"/>
                                          <w:sz w:val="36"/>
                                          <w:szCs w:val="36"/>
                                          <w14:textFill>
                                            <w14:solidFill>
                                              <w14:schemeClr w14:val="tx2"/>
                                            </w14:solidFill>
                                          </w14:textFill>
                                        </w:rPr>
                                      </w:pPr>
                                      <w:r>
                                        <w:rPr>
                                          <w:rFonts w:hint="eastAsia" w:asciiTheme="majorHAnsi" w:hAnsiTheme="majorHAnsi"/>
                                          <w:color w:val="44546A" w:themeColor="text2"/>
                                          <w:spacing w:val="10"/>
                                          <w:sz w:val="36"/>
                                          <w:szCs w:val="36"/>
                                          <w:lang w:eastAsia="zh-CN"/>
                                          <w14:textFill>
                                            <w14:solidFill>
                                              <w14:schemeClr w14:val="tx2"/>
                                            </w14:solidFill>
                                          </w14:textFill>
                                        </w:rPr>
                                        <w:t>2026 年3月17号总第</w:t>
                                      </w:r>
                                      <w:r>
                                        <w:rPr>
                                          <w:rFonts w:hint="eastAsia" w:asciiTheme="majorHAnsi" w:hAnsiTheme="majorHAnsi"/>
                                          <w:color w:val="44546A" w:themeColor="text2"/>
                                          <w:spacing w:val="10"/>
                                          <w:sz w:val="36"/>
                                          <w:szCs w:val="36"/>
                                          <w:lang w:val="en-US" w:eastAsia="zh-CN"/>
                                          <w14:textFill>
                                            <w14:solidFill>
                                              <w14:schemeClr w14:val="tx2"/>
                                            </w14:solidFill>
                                          </w14:textFill>
                                        </w:rPr>
                                        <w:t>48</w:t>
                                      </w:r>
                                      <w:r>
                                        <w:rPr>
                                          <w:rFonts w:hint="eastAsia" w:asciiTheme="majorHAnsi" w:hAnsiTheme="majorHAnsi"/>
                                          <w:color w:val="44546A" w:themeColor="text2"/>
                                          <w:spacing w:val="10"/>
                                          <w:sz w:val="36"/>
                                          <w:szCs w:val="36"/>
                                          <w:lang w:eastAsia="zh-CN"/>
                                          <w14:textFill>
                                            <w14:solidFill>
                                              <w14:schemeClr w14:val="tx2"/>
                                            </w14:solidFill>
                                          </w14:textFill>
                                        </w:rPr>
                                        <w:t xml:space="preserve">  期</w:t>
                                      </w:r>
                                    </w:p>
                                  </w:sdtContent>
                                </w:sdt>
                                <w:sdt>
                                  <w:sdtPr>
                                    <w:rPr>
                                      <w:rFonts w:asciiTheme="majorHAnsi" w:hAnsiTheme="majorHAnsi"/>
                                      <w:caps/>
                                      <w:color w:val="44546A" w:themeColor="text2"/>
                                      <w:sz w:val="96"/>
                                      <w:szCs w:val="96"/>
                                      <w14:textFill>
                                        <w14:solidFill>
                                          <w14:schemeClr w14:val="tx2"/>
                                        </w14:solidFill>
                                      </w14:textFill>
                                    </w:rPr>
                                    <w:alias w:val="标题"/>
                                    <w:id w:val="2028975343"/>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caps/>
                                      <w:color w:val="44546A" w:themeColor="text2"/>
                                      <w:sz w:val="96"/>
                                      <w:szCs w:val="96"/>
                                      <w14:textFill>
                                        <w14:solidFill>
                                          <w14:schemeClr w14:val="tx2"/>
                                        </w14:solidFill>
                                      </w14:textFill>
                                    </w:rPr>
                                  </w:sdtEndPr>
                                  <w:sdtContent>
                                    <w:p w14:paraId="00CC8C92">
                                      <w:pPr>
                                        <w:pStyle w:val="40"/>
                                        <w:spacing w:line="216" w:lineRule="auto"/>
                                        <w:rPr>
                                          <w:rFonts w:asciiTheme="majorHAnsi" w:hAnsiTheme="majorHAnsi"/>
                                          <w:caps/>
                                          <w:color w:val="44546A" w:themeColor="text2"/>
                                          <w:sz w:val="96"/>
                                          <w:szCs w:val="96"/>
                                          <w14:textFill>
                                            <w14:solidFill>
                                              <w14:schemeClr w14:val="tx2"/>
                                            </w14:solidFill>
                                          </w14:textFill>
                                        </w:rPr>
                                      </w:pPr>
                                      <w:r>
                                        <w:rPr>
                                          <w:rFonts w:asciiTheme="majorHAnsi" w:hAnsiTheme="majorHAnsi"/>
                                          <w:caps/>
                                          <w:color w:val="44546A" w:themeColor="text2"/>
                                          <w:sz w:val="96"/>
                                          <w:szCs w:val="96"/>
                                          <w14:textFill>
                                            <w14:solidFill>
                                              <w14:schemeClr w14:val="tx2"/>
                                            </w14:solidFill>
                                          </w14:textFill>
                                        </w:rPr>
                                        <w:t>税务法律资讯</w:t>
                                      </w:r>
                                    </w:p>
                                  </w:sdtContent>
                                </w:sdt>
                              </w:txbxContent>
                            </wps:txbx>
                            <wps:bodyPr lIns="457200" tIns="457200" rIns="0" bIns="0" anchor="b" anchorCtr="0" upright="1"/>
                          </wps:wsp>
                        </wpg:wgp>
                      </a:graphicData>
                    </a:graphic>
                  </wp:anchor>
                </w:drawing>
              </mc:Choice>
              <mc:Fallback>
                <w:pict>
                  <v:group id="组合 11" o:spid="_x0000_s1026" o:spt="203" alt="标题: 带裁剪标记图形的标题和副标题" style="position:absolute;left:0pt;height:267.85pt;width:502.55pt;mso-position-horizontal:left;mso-position-horizontal-relative:page;mso-position-vertical:top;mso-position-vertical-relative:page;z-index:251660288;mso-width-relative:page;mso-height-relative:page;" coordsize="63817,34015" o:gfxdata="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CVJ4oI1gAAAAYBAAAPAAAAAAAAAAEAIAAAACIAAABkcnMvZG93&#10;bnJldi54bWxQSwECFAAUAAAACACHTuJAVp+AxAMEAAAcDAAADgAAAAAAAAABACAAAAAlAQAAZHJz&#10;L2Uyb0RvYy54bWxQSwUGAAAAAAYABgBZAQAAmgcAAAAA&#10;">
                    <o:lock v:ext="edit" aspectratio="f"/>
                    <v:group id="组合 6" o:spid="_x0000_s1026" o:spt="203" style="position:absolute;left:0;top:0;height:34015;width:26426;" coordsize="26426,34015"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shape id="_x0000_s1026" o:spid="_x0000_s1026" o:spt="100" style="position:absolute;left:5048;top:5048;height:28670;width:21336;" fillcolor="#44546A" filled="t" stroked="f" coordsize="1344,1806" o:gfxdata="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i292ugAAANoA&#10;AAAPAAAAAAAAAAEAIAAAACIAAABkcnMvZG93bnJldi54bWxQSwECFAAUAAAACACHTuJAMy8FnjsA&#10;AAA5AAAAEAAAAAAAAAABACAAAAAJAQAAZHJzL3NoYXBleG1sLnhtbFBLBQYAAAAABgAGAFsBAACz&#10;AwAAAAA=&#10;" path="m168,1806l0,1806,0,0,1344,0,1344,165,168,165,168,1806xe">
                        <v:path o:connectlocs="266700,2867025;0,2867025;0,0;2133600,0;2133600,261938;266700,261938;266700,2867025" o:connectangles="0,0,0,0,0,0,0"/>
                        <v:fill on="t" focussize="0,0"/>
                        <v:stroke on="f"/>
                        <v:imagedata o:title=""/>
                        <o:lock v:ext="edit" aspectratio="f"/>
                      </v:shape>
                      <v:rect id="矩形 5" o:spid="_x0000_s1026" o:spt="1" style="position:absolute;left:0;top:0;height:34015;width:26426;v-text-anchor:middle;" filled="f" stroked="f" coordsize="21600,21600" o:gfxdata="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ymIxugAAANoA&#10;AAAPAAAAAAAAAAEAIAAAACIAAABkcnMvZG93bnJldi54bWxQSwECFAAUAAAACACHTuJAMy8FnjsA&#10;AAA5AAAAEAAAAAAAAAABACAAAAAJAQAAZHJzL3NoYXBleG1sLnhtbFBLBQYAAAAABgAGAFsBAACz&#10;AwAAAAA=&#10;">
                        <v:fill on="f" focussize="0,0"/>
                        <v:stroke on="f" weight="1pt"/>
                        <v:imagedata o:title=""/>
                        <o:lock v:ext="edit" aspectratio="f"/>
                      </v:rect>
                    </v:group>
                    <v:shape id="文本框 9" o:spid="_x0000_s1026" o:spt="202" type="#_x0000_t202" style="position:absolute;left:7715;top:7620;height:25914;width:56102;v-text-anchor:bottom;" filled="f" stroked="f" coordsize="21600,21600" o:gfxdata="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C8FvvQAA&#10;ANoAAAAPAAAAAAAAAAEAIAAAACIAAABkcnMvZG93bnJldi54bWxQSwECFAAUAAAACACHTuJAMy8F&#10;njsAAAA5AAAAEAAAAAAAAAABACAAAAAMAQAAZHJzL3NoYXBleG1sLnhtbFBLBQYAAAAABgAGAFsB&#10;AAC2AwAAAAA=&#10;">
                      <v:fill on="f" focussize="0,0"/>
                      <v:stroke on="f" weight="0.5pt"/>
                      <v:imagedata o:title=""/>
                      <o:lock v:ext="edit" aspectratio="f"/>
                      <v:textbox inset="12.7mm,12.7mm,0mm,0mm">
                        <w:txbxContent>
                          <w:sdt>
                            <w:sdtPr>
                              <w:rPr>
                                <w:rFonts w:asciiTheme="majorHAnsi" w:hAnsiTheme="majorHAnsi"/>
                                <w:color w:val="44546A" w:themeColor="text2"/>
                                <w:spacing w:val="10"/>
                                <w:sz w:val="36"/>
                                <w:szCs w:val="36"/>
                                <w14:textFill>
                                  <w14:solidFill>
                                    <w14:schemeClr w14:val="tx2"/>
                                  </w14:solidFill>
                                </w14:textFill>
                              </w:rPr>
                              <w:alias w:val="副标题"/>
                              <w:id w:val="1383281298"/>
                              <w:dataBinding w:prefixMappings="xmlns:ns0='http://purl.org/dc/elements/1.1/' xmlns:ns1='http://schemas.openxmlformats.org/package/2006/metadata/core-properties' " w:xpath="/ns1:coreProperties[1]/ns0:subject[1]" w:storeItemID="{6C3C8BC8-F283-45AE-878A-BAB7291924A1}"/>
                              <w:text/>
                            </w:sdtPr>
                            <w:sdtEndPr>
                              <w:rPr>
                                <w:rFonts w:asciiTheme="majorHAnsi" w:hAnsiTheme="majorHAnsi"/>
                                <w:color w:val="44546A" w:themeColor="text2"/>
                                <w:spacing w:val="10"/>
                                <w:sz w:val="36"/>
                                <w:szCs w:val="36"/>
                                <w14:textFill>
                                  <w14:solidFill>
                                    <w14:schemeClr w14:val="tx2"/>
                                  </w14:solidFill>
                                </w14:textFill>
                              </w:rPr>
                            </w:sdtEndPr>
                            <w:sdtContent>
                              <w:p w14:paraId="54D48BFA">
                                <w:pPr>
                                  <w:pStyle w:val="40"/>
                                  <w:spacing w:after="240" w:line="216" w:lineRule="auto"/>
                                  <w:rPr>
                                    <w:rFonts w:asciiTheme="majorHAnsi" w:hAnsiTheme="majorHAnsi"/>
                                    <w:color w:val="44546A" w:themeColor="text2"/>
                                    <w:spacing w:val="10"/>
                                    <w:sz w:val="36"/>
                                    <w:szCs w:val="36"/>
                                    <w14:textFill>
                                      <w14:solidFill>
                                        <w14:schemeClr w14:val="tx2"/>
                                      </w14:solidFill>
                                    </w14:textFill>
                                  </w:rPr>
                                </w:pPr>
                                <w:r>
                                  <w:rPr>
                                    <w:rFonts w:hint="eastAsia" w:asciiTheme="majorHAnsi" w:hAnsiTheme="majorHAnsi"/>
                                    <w:color w:val="44546A" w:themeColor="text2"/>
                                    <w:spacing w:val="10"/>
                                    <w:sz w:val="36"/>
                                    <w:szCs w:val="36"/>
                                    <w:lang w:eastAsia="zh-CN"/>
                                    <w14:textFill>
                                      <w14:solidFill>
                                        <w14:schemeClr w14:val="tx2"/>
                                      </w14:solidFill>
                                    </w14:textFill>
                                  </w:rPr>
                                  <w:t>2026 年3月17号总第</w:t>
                                </w:r>
                                <w:r>
                                  <w:rPr>
                                    <w:rFonts w:hint="eastAsia" w:asciiTheme="majorHAnsi" w:hAnsiTheme="majorHAnsi"/>
                                    <w:color w:val="44546A" w:themeColor="text2"/>
                                    <w:spacing w:val="10"/>
                                    <w:sz w:val="36"/>
                                    <w:szCs w:val="36"/>
                                    <w:lang w:val="en-US" w:eastAsia="zh-CN"/>
                                    <w14:textFill>
                                      <w14:solidFill>
                                        <w14:schemeClr w14:val="tx2"/>
                                      </w14:solidFill>
                                    </w14:textFill>
                                  </w:rPr>
                                  <w:t>48</w:t>
                                </w:r>
                                <w:r>
                                  <w:rPr>
                                    <w:rFonts w:hint="eastAsia" w:asciiTheme="majorHAnsi" w:hAnsiTheme="majorHAnsi"/>
                                    <w:color w:val="44546A" w:themeColor="text2"/>
                                    <w:spacing w:val="10"/>
                                    <w:sz w:val="36"/>
                                    <w:szCs w:val="36"/>
                                    <w:lang w:eastAsia="zh-CN"/>
                                    <w14:textFill>
                                      <w14:solidFill>
                                        <w14:schemeClr w14:val="tx2"/>
                                      </w14:solidFill>
                                    </w14:textFill>
                                  </w:rPr>
                                  <w:t xml:space="preserve">  期</w:t>
                                </w:r>
                              </w:p>
                            </w:sdtContent>
                          </w:sdt>
                          <w:sdt>
                            <w:sdtPr>
                              <w:rPr>
                                <w:rFonts w:asciiTheme="majorHAnsi" w:hAnsiTheme="majorHAnsi"/>
                                <w:caps/>
                                <w:color w:val="44546A" w:themeColor="text2"/>
                                <w:sz w:val="96"/>
                                <w:szCs w:val="96"/>
                                <w14:textFill>
                                  <w14:solidFill>
                                    <w14:schemeClr w14:val="tx2"/>
                                  </w14:solidFill>
                                </w14:textFill>
                              </w:rPr>
                              <w:alias w:val="标题"/>
                              <w:id w:val="2028975343"/>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caps/>
                                <w:color w:val="44546A" w:themeColor="text2"/>
                                <w:sz w:val="96"/>
                                <w:szCs w:val="96"/>
                                <w14:textFill>
                                  <w14:solidFill>
                                    <w14:schemeClr w14:val="tx2"/>
                                  </w14:solidFill>
                                </w14:textFill>
                              </w:rPr>
                            </w:sdtEndPr>
                            <w:sdtContent>
                              <w:p w14:paraId="00CC8C92">
                                <w:pPr>
                                  <w:pStyle w:val="40"/>
                                  <w:spacing w:line="216" w:lineRule="auto"/>
                                  <w:rPr>
                                    <w:rFonts w:asciiTheme="majorHAnsi" w:hAnsiTheme="majorHAnsi"/>
                                    <w:caps/>
                                    <w:color w:val="44546A" w:themeColor="text2"/>
                                    <w:sz w:val="96"/>
                                    <w:szCs w:val="96"/>
                                    <w14:textFill>
                                      <w14:solidFill>
                                        <w14:schemeClr w14:val="tx2"/>
                                      </w14:solidFill>
                                    </w14:textFill>
                                  </w:rPr>
                                </w:pPr>
                                <w:r>
                                  <w:rPr>
                                    <w:rFonts w:asciiTheme="majorHAnsi" w:hAnsiTheme="majorHAnsi"/>
                                    <w:caps/>
                                    <w:color w:val="44546A" w:themeColor="text2"/>
                                    <w:sz w:val="96"/>
                                    <w:szCs w:val="96"/>
                                    <w14:textFill>
                                      <w14:solidFill>
                                        <w14:schemeClr w14:val="tx2"/>
                                      </w14:solidFill>
                                    </w14:textFill>
                                  </w:rPr>
                                  <w:t>税务法律资讯</w:t>
                                </w:r>
                              </w:p>
                            </w:sdtContent>
                          </w:sdt>
                        </w:txbxContent>
                      </v:textbox>
                    </v:shape>
                  </v:group>
                </w:pict>
              </mc:Fallback>
            </mc:AlternateContent>
          </w:r>
          <w: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0" b="0"/>
                    <wp:wrapNone/>
                    <wp:docPr id="2" name="矩形 2" descr="标题: 彩色背景"/>
                    <wp:cNvGraphicFramePr/>
                    <a:graphic xmlns:a="http://schemas.openxmlformats.org/drawingml/2006/main">
                      <a:graphicData uri="http://schemas.microsoft.com/office/word/2010/wordprocessingShape">
                        <wps:wsp>
                          <wps:cNvSpPr/>
                          <wps:spPr>
                            <a:xfrm>
                              <a:off x="0" y="0"/>
                              <a:ext cx="7315200" cy="9601200"/>
                            </a:xfrm>
                            <a:prstGeom prst="rect">
                              <a:avLst/>
                            </a:prstGeom>
                            <a:solidFill>
                              <a:srgbClr val="E7E6E6"/>
                            </a:solidFill>
                            <a:ln>
                              <a:noFill/>
                            </a:ln>
                          </wps:spPr>
                          <wps:bodyPr upright="1"/>
                        </wps:wsp>
                      </a:graphicData>
                    </a:graphic>
                    <wp14:sizeRelH relativeFrom="page">
                      <wp14:pctWidth>94100</wp14:pctWidth>
                    </wp14:sizeRelH>
                    <wp14:sizeRelV relativeFrom="page">
                      <wp14:pctHeight>95400</wp14:pctHeight>
                    </wp14:sizeRelV>
                  </wp:anchor>
                </w:drawing>
              </mc:Choice>
              <mc:Fallback>
                <w:pict>
                  <v:rect id="_x0000_s1026" o:spid="_x0000_s1026" o:spt="1" alt="标题: 彩色背景" style="position:absolute;left:0pt;height:756pt;width:576pt;mso-position-horizontal:center;mso-position-horizontal-relative:page;mso-position-vertical:center;mso-position-vertical-relative:page;z-index:-251657216;mso-width-relative:page;mso-height-relative:page;mso-width-percent:941;mso-height-percent:954;" fillcolor="#E7E6E6" filled="t" stroked="f" coordsize="21600,21600" o:gfxdata="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41HMkdUAAAAHAQAADwAAAAAAAAABACAA&#10;AAAiAAAAZHJzL2Rvd25yZXYueG1sUEsBAhQAFAAAAAgAh07iQPhiwUDXAQAAfQMAAA4AAAAAAAAA&#10;AQAgAAAAJAEAAGRycy9lMm9Eb2MueG1sUEsFBgAAAAAGAAYAWQEAAG0FAAAAAA==&#10;">
                    <v:fill on="t" focussize="0,0"/>
                    <v:stroke on="f"/>
                    <v:imagedata o:title=""/>
                    <o:lock v:ext="edit" aspectratio="f"/>
                  </v:rect>
                </w:pict>
              </mc:Fallback>
            </mc:AlternateContent>
          </w:r>
        </w:p>
      </w:sdtContent>
    </w:sdt>
    <w:p w14:paraId="33FB4C65">
      <w:pPr>
        <w:pStyle w:val="22"/>
        <w:spacing w:beforeLines="50" w:afterLines="50" w:line="520" w:lineRule="exact"/>
        <w:jc w:val="both"/>
        <w:rPr>
          <w:rFonts w:ascii="宋体" w:hAnsi="宋体" w:eastAsia="宋体"/>
          <w:sz w:val="28"/>
          <w:szCs w:val="2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start="0"/>
          <w:cols w:space="425" w:num="1"/>
          <w:titlePg/>
          <w:docGrid w:type="lines" w:linePitch="312" w:charSpace="0"/>
        </w:sectPr>
      </w:pPr>
    </w:p>
    <w:p w14:paraId="59D93247">
      <w:pPr>
        <w:pStyle w:val="22"/>
        <w:spacing w:beforeLines="100" w:afterLines="100" w:line="360" w:lineRule="auto"/>
        <w:rPr>
          <w:rFonts w:ascii="宋体" w:hAnsi="宋体" w:eastAsia="宋体"/>
          <w:sz w:val="44"/>
          <w:szCs w:val="44"/>
        </w:rPr>
      </w:pPr>
      <w:bookmarkStart w:id="1" w:name="_Toc5401"/>
      <w:bookmarkStart w:id="2" w:name="_Toc135923105"/>
      <w:bookmarkStart w:id="3" w:name="_Toc133526993"/>
      <w:bookmarkStart w:id="4" w:name="_Toc16770"/>
      <w:bookmarkStart w:id="5" w:name="_Toc99305194"/>
      <w:bookmarkStart w:id="6" w:name="_Toc5021"/>
      <w:bookmarkStart w:id="7" w:name="_Toc101862585"/>
      <w:bookmarkStart w:id="8" w:name="_Toc114759989"/>
      <w:bookmarkStart w:id="9" w:name="_Toc107226375"/>
      <w:bookmarkStart w:id="10" w:name="_Toc109728390"/>
      <w:bookmarkStart w:id="11" w:name="_Toc120543559"/>
      <w:bookmarkStart w:id="12" w:name="_Toc130547004"/>
      <w:bookmarkStart w:id="13" w:name="_Toc104479277"/>
      <w:bookmarkStart w:id="14" w:name="_Toc101861023"/>
      <w:bookmarkStart w:id="15" w:name="_Toc123029936"/>
      <w:bookmarkStart w:id="16" w:name="_Toc104479531"/>
      <w:bookmarkStart w:id="17" w:name="_Toc128323131"/>
      <w:bookmarkStart w:id="18" w:name="_Toc141035898"/>
      <w:bookmarkStart w:id="19" w:name="_Toc117676724"/>
      <w:bookmarkStart w:id="20" w:name="_Toc107226431"/>
      <w:bookmarkStart w:id="21" w:name="_Toc140334220"/>
      <w:bookmarkStart w:id="22" w:name="_Toc11979"/>
      <w:bookmarkStart w:id="23" w:name="_Toc141034852"/>
      <w:bookmarkStart w:id="24" w:name="_Toc140335191"/>
      <w:bookmarkStart w:id="25" w:name="_Toc112589853"/>
      <w:bookmarkStart w:id="26" w:name="_Toc140334598"/>
      <w:bookmarkStart w:id="27" w:name="_Toc99352462"/>
      <w:r>
        <w:rPr>
          <w:rFonts w:hint="eastAsia" w:ascii="宋体" w:hAnsi="宋体" w:eastAsia="宋体"/>
          <w:sz w:val="44"/>
          <w:szCs w:val="44"/>
        </w:rPr>
        <w:t>目  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27EECE2B">
      <w:pPr>
        <w:pStyle w:val="15"/>
        <w:tabs>
          <w:tab w:val="right" w:leader="dot" w:pos="8306"/>
          <w:tab w:val="clear" w:pos="8296"/>
        </w:tabs>
      </w:pPr>
      <w:r>
        <w:rPr>
          <w:color w:val="000000" w:themeColor="text1"/>
          <w:sz w:val="24"/>
          <w:szCs w:val="24"/>
          <w14:textFill>
            <w14:solidFill>
              <w14:schemeClr w14:val="tx1"/>
            </w14:solidFill>
          </w14:textFill>
        </w:rPr>
        <w:fldChar w:fldCharType="begin"/>
      </w:r>
      <w:r>
        <w:rPr>
          <w:rFonts w:hint="eastAsia"/>
          <w:color w:val="000000" w:themeColor="text1"/>
          <w:sz w:val="24"/>
          <w:szCs w:val="24"/>
          <w14:textFill>
            <w14:solidFill>
              <w14:schemeClr w14:val="tx1"/>
            </w14:solidFill>
          </w14:textFill>
        </w:rPr>
        <w:instrText xml:space="preserve">TOC \o "1-3" \h \z \u</w:instrText>
      </w:r>
      <w:r>
        <w:rPr>
          <w:color w:val="000000" w:themeColor="text1"/>
          <w:sz w:val="24"/>
          <w:szCs w:val="24"/>
          <w14:textFill>
            <w14:solidFill>
              <w14:schemeClr w14:val="tx1"/>
            </w14:solidFill>
          </w14:textFill>
        </w:rPr>
        <w:fldChar w:fldCharType="separate"/>
      </w: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_Toc12662 </w:instrText>
      </w:r>
      <w:r>
        <w:rPr>
          <w:rFonts w:ascii="宋体" w:hAnsi="宋体" w:eastAsia="宋体"/>
          <w:bCs w:val="0"/>
          <w:szCs w:val="24"/>
        </w:rPr>
        <w:fldChar w:fldCharType="separate"/>
      </w:r>
      <w:r>
        <w:rPr>
          <w:rFonts w:hint="eastAsia" w:ascii="宋体" w:hAnsi="宋体" w:eastAsia="宋体"/>
          <w:highlight w:val="darkGray"/>
        </w:rPr>
        <w:t>行业资讯</w:t>
      </w:r>
      <w:r>
        <w:tab/>
      </w:r>
      <w:r>
        <w:fldChar w:fldCharType="begin"/>
      </w:r>
      <w:r>
        <w:instrText xml:space="preserve"> PAGEREF _Toc12662 \h </w:instrText>
      </w:r>
      <w:r>
        <w:fldChar w:fldCharType="separate"/>
      </w:r>
      <w:r>
        <w:t>1</w:t>
      </w:r>
      <w:r>
        <w:fldChar w:fldCharType="end"/>
      </w:r>
      <w:r>
        <w:rPr>
          <w:rFonts w:ascii="宋体" w:hAnsi="宋体" w:eastAsia="宋体"/>
          <w:bCs w:val="0"/>
          <w:color w:val="000000" w:themeColor="text1"/>
          <w:szCs w:val="24"/>
          <w14:textFill>
            <w14:solidFill>
              <w14:schemeClr w14:val="tx1"/>
            </w14:solidFill>
          </w14:textFill>
        </w:rPr>
        <w:fldChar w:fldCharType="end"/>
      </w:r>
    </w:p>
    <w:p w14:paraId="115B8C3E">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_Toc3297 </w:instrText>
      </w:r>
      <w:r>
        <w:rPr>
          <w:rFonts w:ascii="宋体" w:hAnsi="宋体" w:eastAsia="宋体"/>
          <w:bCs w:val="0"/>
          <w:szCs w:val="24"/>
        </w:rPr>
        <w:fldChar w:fldCharType="separate"/>
      </w:r>
      <w:r>
        <w:rPr>
          <w:rFonts w:hint="eastAsia" w:ascii="宋体" w:hAnsi="宋体" w:eastAsia="宋体" w:cs="微软雅黑"/>
          <w:color w:val="auto"/>
          <w:szCs w:val="28"/>
          <w:lang w:val="en-US" w:eastAsia="zh-CN"/>
        </w:rPr>
        <w:t>国家税务总局党委传达学习贯彻习近平总书记在</w:t>
      </w:r>
      <w:r>
        <w:tab/>
      </w:r>
      <w:r>
        <w:fldChar w:fldCharType="begin"/>
      </w:r>
      <w:r>
        <w:instrText xml:space="preserve"> PAGEREF _Toc3297 \h </w:instrText>
      </w:r>
      <w:r>
        <w:fldChar w:fldCharType="separate"/>
      </w:r>
      <w:r>
        <w:t>1</w:t>
      </w:r>
      <w:r>
        <w:fldChar w:fldCharType="end"/>
      </w:r>
      <w:r>
        <w:rPr>
          <w:rFonts w:ascii="宋体" w:hAnsi="宋体" w:eastAsia="宋体"/>
          <w:bCs w:val="0"/>
          <w:color w:val="000000" w:themeColor="text1"/>
          <w:szCs w:val="24"/>
          <w14:textFill>
            <w14:solidFill>
              <w14:schemeClr w14:val="tx1"/>
            </w14:solidFill>
          </w14:textFill>
        </w:rPr>
        <w:fldChar w:fldCharType="end"/>
      </w:r>
    </w:p>
    <w:p w14:paraId="2FC1FE8E">
      <w:pPr>
        <w:pStyle w:val="15"/>
        <w:tabs>
          <w:tab w:val="right" w:leader="dot" w:pos="8306"/>
          <w:tab w:val="clear" w:pos="8296"/>
        </w:tabs>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_Toc10602 </w:instrText>
      </w:r>
      <w:r>
        <w:rPr>
          <w:rFonts w:ascii="宋体" w:hAnsi="宋体" w:eastAsia="宋体"/>
          <w:bCs w:val="0"/>
          <w:color w:val="auto"/>
          <w:szCs w:val="24"/>
        </w:rPr>
        <w:fldChar w:fldCharType="separate"/>
      </w:r>
      <w:r>
        <w:rPr>
          <w:rFonts w:hint="eastAsia" w:ascii="宋体" w:hAnsi="宋体" w:eastAsia="宋体" w:cs="微软雅黑"/>
          <w:color w:val="auto"/>
          <w:szCs w:val="28"/>
          <w:lang w:val="en-US" w:eastAsia="zh-CN"/>
        </w:rPr>
        <w:t>全国两会期间的重要讲话精神和全国两会精神</w:t>
      </w:r>
      <w:r>
        <w:rPr>
          <w:color w:val="auto"/>
        </w:rPr>
        <w:tab/>
      </w:r>
      <w:r>
        <w:rPr>
          <w:color w:val="auto"/>
        </w:rPr>
        <w:fldChar w:fldCharType="begin"/>
      </w:r>
      <w:r>
        <w:rPr>
          <w:color w:val="auto"/>
        </w:rPr>
        <w:instrText xml:space="preserve"> PAGEREF _Toc10602 \h </w:instrText>
      </w:r>
      <w:r>
        <w:rPr>
          <w:color w:val="auto"/>
        </w:rPr>
        <w:fldChar w:fldCharType="separate"/>
      </w:r>
      <w:r>
        <w:rPr>
          <w:color w:val="auto"/>
        </w:rPr>
        <w:t>1</w:t>
      </w:r>
      <w:r>
        <w:rPr>
          <w:color w:val="auto"/>
        </w:rPr>
        <w:fldChar w:fldCharType="end"/>
      </w:r>
      <w:r>
        <w:rPr>
          <w:rFonts w:ascii="宋体" w:hAnsi="宋体" w:eastAsia="宋体"/>
          <w:bCs w:val="0"/>
          <w:color w:val="auto"/>
          <w:szCs w:val="24"/>
        </w:rPr>
        <w:fldChar w:fldCharType="end"/>
      </w:r>
    </w:p>
    <w:p w14:paraId="1CBBCFBE">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_Toc7781 </w:instrText>
      </w:r>
      <w:r>
        <w:rPr>
          <w:rFonts w:ascii="宋体" w:hAnsi="宋体" w:eastAsia="宋体"/>
          <w:bCs w:val="0"/>
          <w:szCs w:val="24"/>
        </w:rPr>
        <w:fldChar w:fldCharType="separate"/>
      </w:r>
      <w:r>
        <w:rPr>
          <w:rFonts w:hint="eastAsia" w:ascii="宋体" w:hAnsi="宋体" w:eastAsia="宋体" w:cs="微软雅黑"/>
          <w:color w:val="auto"/>
          <w:szCs w:val="28"/>
          <w:lang w:val="en-US" w:eastAsia="zh-CN"/>
        </w:rPr>
        <w:t>生态环境部和国家税务总局签署备忘录</w:t>
      </w:r>
      <w:r>
        <w:tab/>
      </w:r>
      <w:r>
        <w:fldChar w:fldCharType="begin"/>
      </w:r>
      <w:r>
        <w:instrText xml:space="preserve"> PAGEREF _Toc7781 \h </w:instrText>
      </w:r>
      <w:r>
        <w:fldChar w:fldCharType="separate"/>
      </w:r>
      <w:r>
        <w:t>3</w:t>
      </w:r>
      <w:r>
        <w:fldChar w:fldCharType="end"/>
      </w:r>
      <w:r>
        <w:rPr>
          <w:rFonts w:ascii="宋体" w:hAnsi="宋体" w:eastAsia="宋体"/>
          <w:bCs w:val="0"/>
          <w:color w:val="000000" w:themeColor="text1"/>
          <w:szCs w:val="24"/>
          <w14:textFill>
            <w14:solidFill>
              <w14:schemeClr w14:val="tx1"/>
            </w14:solidFill>
          </w14:textFill>
        </w:rPr>
        <w:fldChar w:fldCharType="end"/>
      </w:r>
    </w:p>
    <w:p w14:paraId="62983FAD">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_Toc6884 </w:instrText>
      </w:r>
      <w:r>
        <w:rPr>
          <w:rFonts w:ascii="宋体" w:hAnsi="宋体" w:eastAsia="宋体"/>
          <w:bCs w:val="0"/>
          <w:color w:val="auto"/>
          <w:szCs w:val="24"/>
        </w:rPr>
        <w:fldChar w:fldCharType="separate"/>
      </w:r>
      <w:r>
        <w:rPr>
          <w:rFonts w:hint="eastAsia" w:ascii="宋体" w:hAnsi="宋体" w:eastAsia="宋体" w:cs="微软雅黑"/>
          <w:color w:val="auto"/>
          <w:szCs w:val="28"/>
          <w:lang w:val="en-US" w:eastAsia="zh-CN"/>
        </w:rPr>
        <w:t>深化环境保护税征收管理部门协作</w:t>
      </w:r>
      <w:r>
        <w:rPr>
          <w:color w:val="auto"/>
        </w:rPr>
        <w:tab/>
      </w:r>
      <w:r>
        <w:rPr>
          <w:color w:val="auto"/>
        </w:rPr>
        <w:fldChar w:fldCharType="begin"/>
      </w:r>
      <w:r>
        <w:rPr>
          <w:color w:val="auto"/>
        </w:rPr>
        <w:instrText xml:space="preserve"> PAGEREF _Toc6884 \h </w:instrText>
      </w:r>
      <w:r>
        <w:rPr>
          <w:color w:val="auto"/>
        </w:rPr>
        <w:fldChar w:fldCharType="separate"/>
      </w:r>
      <w:r>
        <w:rPr>
          <w:color w:val="auto"/>
        </w:rPr>
        <w:t>3</w:t>
      </w:r>
      <w:r>
        <w:rPr>
          <w:color w:val="auto"/>
        </w:rPr>
        <w:fldChar w:fldCharType="end"/>
      </w:r>
      <w:r>
        <w:rPr>
          <w:rFonts w:ascii="宋体" w:hAnsi="宋体" w:eastAsia="宋体"/>
          <w:bCs w:val="0"/>
          <w:color w:val="auto"/>
          <w:szCs w:val="24"/>
        </w:rPr>
        <w:fldChar w:fldCharType="end"/>
      </w:r>
    </w:p>
    <w:p w14:paraId="78D4BB62">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_Toc8579 </w:instrText>
      </w:r>
      <w:r>
        <w:rPr>
          <w:rFonts w:ascii="宋体" w:hAnsi="宋体" w:eastAsia="宋体"/>
          <w:bCs w:val="0"/>
          <w:szCs w:val="24"/>
        </w:rPr>
        <w:fldChar w:fldCharType="separate"/>
      </w:r>
      <w:r>
        <w:rPr>
          <w:rFonts w:hint="eastAsia" w:ascii="宋体" w:hAnsi="宋体" w:eastAsia="宋体" w:cs="微软雅黑"/>
          <w:color w:val="auto"/>
          <w:szCs w:val="28"/>
          <w:lang w:val="en-US" w:eastAsia="zh-CN"/>
        </w:rPr>
        <w:t>税务总局高质量完成全国两会建议提案办理工作</w:t>
      </w:r>
      <w:r>
        <w:tab/>
      </w:r>
      <w:r>
        <w:fldChar w:fldCharType="begin"/>
      </w:r>
      <w:r>
        <w:instrText xml:space="preserve"> PAGEREF _Toc8579 \h </w:instrText>
      </w:r>
      <w:r>
        <w:fldChar w:fldCharType="separate"/>
      </w:r>
      <w:r>
        <w:t>5</w:t>
      </w:r>
      <w:r>
        <w:fldChar w:fldCharType="end"/>
      </w:r>
      <w:r>
        <w:rPr>
          <w:rFonts w:ascii="宋体" w:hAnsi="宋体" w:eastAsia="宋体"/>
          <w:bCs w:val="0"/>
          <w:color w:val="000000" w:themeColor="text1"/>
          <w:szCs w:val="24"/>
          <w14:textFill>
            <w14:solidFill>
              <w14:schemeClr w14:val="tx1"/>
            </w14:solidFill>
          </w14:textFill>
        </w:rPr>
        <w:fldChar w:fldCharType="end"/>
      </w:r>
    </w:p>
    <w:p w14:paraId="0177DE72">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_Toc11775 </w:instrText>
      </w:r>
      <w:r>
        <w:rPr>
          <w:rFonts w:ascii="宋体" w:hAnsi="宋体" w:eastAsia="宋体"/>
          <w:bCs w:val="0"/>
          <w:color w:val="auto"/>
          <w:szCs w:val="24"/>
        </w:rPr>
        <w:fldChar w:fldCharType="separate"/>
      </w:r>
      <w:r>
        <w:rPr>
          <w:rFonts w:hint="eastAsia" w:ascii="宋体" w:hAnsi="宋体" w:eastAsia="宋体" w:cs="微软雅黑"/>
          <w:color w:val="auto"/>
          <w:szCs w:val="24"/>
          <w:lang w:val="en-US" w:eastAsia="zh-CN"/>
        </w:rPr>
        <w:t>2025年接收的两会建议提案已100％办结</w:t>
      </w:r>
      <w:r>
        <w:rPr>
          <w:color w:val="auto"/>
        </w:rPr>
        <w:tab/>
      </w:r>
      <w:r>
        <w:rPr>
          <w:color w:val="auto"/>
        </w:rPr>
        <w:fldChar w:fldCharType="begin"/>
      </w:r>
      <w:r>
        <w:rPr>
          <w:color w:val="auto"/>
        </w:rPr>
        <w:instrText xml:space="preserve"> PAGEREF _Toc11775 \h </w:instrText>
      </w:r>
      <w:r>
        <w:rPr>
          <w:color w:val="auto"/>
        </w:rPr>
        <w:fldChar w:fldCharType="separate"/>
      </w:r>
      <w:r>
        <w:rPr>
          <w:color w:val="auto"/>
        </w:rPr>
        <w:t>5</w:t>
      </w:r>
      <w:r>
        <w:rPr>
          <w:color w:val="auto"/>
        </w:rPr>
        <w:fldChar w:fldCharType="end"/>
      </w:r>
      <w:r>
        <w:rPr>
          <w:rFonts w:ascii="宋体" w:hAnsi="宋体" w:eastAsia="宋体"/>
          <w:bCs w:val="0"/>
          <w:color w:val="auto"/>
          <w:szCs w:val="24"/>
        </w:rPr>
        <w:fldChar w:fldCharType="end"/>
      </w:r>
    </w:p>
    <w:p w14:paraId="4E8DA98D">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_Toc10610 </w:instrText>
      </w:r>
      <w:r>
        <w:rPr>
          <w:rFonts w:ascii="宋体" w:hAnsi="宋体" w:eastAsia="宋体"/>
          <w:bCs w:val="0"/>
          <w:color w:val="auto"/>
          <w:szCs w:val="24"/>
        </w:rPr>
        <w:fldChar w:fldCharType="separate"/>
      </w:r>
      <w:r>
        <w:rPr>
          <w:rFonts w:hint="default" w:ascii="宋体" w:hAnsi="宋体" w:eastAsia="宋体" w:cs="微软雅黑"/>
          <w:color w:val="auto"/>
          <w:szCs w:val="28"/>
          <w:lang w:val="en-US" w:eastAsia="zh-CN"/>
        </w:rPr>
        <w:t>税收数据显示：前两个月我国科技创新保持良好发展势头</w:t>
      </w:r>
      <w:r>
        <w:rPr>
          <w:color w:val="auto"/>
        </w:rPr>
        <w:tab/>
      </w:r>
      <w:r>
        <w:rPr>
          <w:color w:val="auto"/>
        </w:rPr>
        <w:fldChar w:fldCharType="begin"/>
      </w:r>
      <w:r>
        <w:rPr>
          <w:color w:val="auto"/>
        </w:rPr>
        <w:instrText xml:space="preserve"> PAGEREF _Toc10610 \h </w:instrText>
      </w:r>
      <w:r>
        <w:rPr>
          <w:color w:val="auto"/>
        </w:rPr>
        <w:fldChar w:fldCharType="separate"/>
      </w:r>
      <w:r>
        <w:rPr>
          <w:color w:val="auto"/>
        </w:rPr>
        <w:t>8</w:t>
      </w:r>
      <w:r>
        <w:rPr>
          <w:color w:val="auto"/>
        </w:rPr>
        <w:fldChar w:fldCharType="end"/>
      </w:r>
      <w:r>
        <w:rPr>
          <w:rFonts w:ascii="宋体" w:hAnsi="宋体" w:eastAsia="宋体"/>
          <w:bCs w:val="0"/>
          <w:color w:val="auto"/>
          <w:szCs w:val="24"/>
        </w:rPr>
        <w:fldChar w:fldCharType="end"/>
      </w:r>
    </w:p>
    <w:p w14:paraId="64830EF5">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_Toc3727 </w:instrText>
      </w:r>
      <w:r>
        <w:rPr>
          <w:rFonts w:ascii="宋体" w:hAnsi="宋体" w:eastAsia="宋体"/>
          <w:bCs w:val="0"/>
          <w:color w:val="auto"/>
          <w:szCs w:val="24"/>
        </w:rPr>
        <w:fldChar w:fldCharType="separate"/>
      </w:r>
      <w:r>
        <w:rPr>
          <w:rFonts w:hint="default" w:ascii="宋体" w:hAnsi="宋体" w:eastAsia="宋体" w:cs="微软雅黑"/>
          <w:color w:val="auto"/>
          <w:szCs w:val="28"/>
          <w:lang w:val="en-US" w:eastAsia="zh-CN"/>
        </w:rPr>
        <w:t>税收数据显示：2025年全国统一大市场建设纵深推进</w:t>
      </w:r>
      <w:r>
        <w:rPr>
          <w:color w:val="auto"/>
        </w:rPr>
        <w:tab/>
      </w:r>
      <w:r>
        <w:rPr>
          <w:color w:val="auto"/>
        </w:rPr>
        <w:fldChar w:fldCharType="begin"/>
      </w:r>
      <w:r>
        <w:rPr>
          <w:color w:val="auto"/>
        </w:rPr>
        <w:instrText xml:space="preserve"> PAGEREF _Toc3727 \h </w:instrText>
      </w:r>
      <w:r>
        <w:rPr>
          <w:color w:val="auto"/>
        </w:rPr>
        <w:fldChar w:fldCharType="separate"/>
      </w:r>
      <w:r>
        <w:rPr>
          <w:color w:val="auto"/>
        </w:rPr>
        <w:t>10</w:t>
      </w:r>
      <w:r>
        <w:rPr>
          <w:color w:val="auto"/>
        </w:rPr>
        <w:fldChar w:fldCharType="end"/>
      </w:r>
      <w:r>
        <w:rPr>
          <w:rFonts w:ascii="宋体" w:hAnsi="宋体" w:eastAsia="宋体"/>
          <w:bCs w:val="0"/>
          <w:color w:val="auto"/>
          <w:szCs w:val="24"/>
        </w:rPr>
        <w:fldChar w:fldCharType="end"/>
      </w:r>
    </w:p>
    <w:p w14:paraId="044AED0B">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_Toc27207 </w:instrText>
      </w:r>
      <w:r>
        <w:rPr>
          <w:rFonts w:ascii="宋体" w:hAnsi="宋体" w:eastAsia="宋体"/>
          <w:bCs w:val="0"/>
          <w:szCs w:val="24"/>
        </w:rPr>
        <w:fldChar w:fldCharType="separate"/>
      </w:r>
      <w:r>
        <w:rPr>
          <w:rFonts w:hint="eastAsia" w:ascii="宋体" w:hAnsi="宋体" w:eastAsia="宋体"/>
          <w:highlight w:val="darkGray"/>
        </w:rPr>
        <w:t>涉税案件分享</w:t>
      </w:r>
      <w:r>
        <w:tab/>
      </w:r>
      <w:r>
        <w:fldChar w:fldCharType="begin"/>
      </w:r>
      <w:r>
        <w:instrText xml:space="preserve"> PAGEREF _Toc27207 \h </w:instrText>
      </w:r>
      <w:r>
        <w:fldChar w:fldCharType="separate"/>
      </w:r>
      <w:r>
        <w:t>12</w:t>
      </w:r>
      <w:r>
        <w:fldChar w:fldCharType="end"/>
      </w:r>
      <w:r>
        <w:rPr>
          <w:rFonts w:ascii="宋体" w:hAnsi="宋体" w:eastAsia="宋体"/>
          <w:bCs w:val="0"/>
          <w:color w:val="000000" w:themeColor="text1"/>
          <w:szCs w:val="24"/>
          <w14:textFill>
            <w14:solidFill>
              <w14:schemeClr w14:val="tx1"/>
            </w14:solidFill>
          </w14:textFill>
        </w:rPr>
        <w:fldChar w:fldCharType="end"/>
      </w:r>
    </w:p>
    <w:p w14:paraId="4B571A8D">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_Toc16803 </w:instrText>
      </w:r>
      <w:r>
        <w:rPr>
          <w:rFonts w:ascii="宋体" w:hAnsi="宋体" w:eastAsia="宋体"/>
          <w:bCs w:val="0"/>
          <w:color w:val="auto"/>
          <w:szCs w:val="24"/>
        </w:rPr>
        <w:fldChar w:fldCharType="separate"/>
      </w:r>
      <w:r>
        <w:rPr>
          <w:rFonts w:hint="eastAsia" w:ascii="宋体" w:hAnsi="宋体" w:eastAsia="宋体" w:cs="微软雅黑"/>
          <w:color w:val="auto"/>
          <w:szCs w:val="28"/>
          <w:lang w:val="en-US" w:eastAsia="zh-CN"/>
        </w:rPr>
        <w:t>税务部门曝光4起骗取出口退税违法案件</w:t>
      </w:r>
      <w:r>
        <w:rPr>
          <w:color w:val="FFFFFF" w:themeColor="background1"/>
          <w14:textFill>
            <w14:solidFill>
              <w14:schemeClr w14:val="bg1"/>
            </w14:solidFill>
          </w14:textFill>
        </w:rPr>
        <w:tab/>
      </w: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PAGEREF _Toc16803 \h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12</w:t>
      </w:r>
      <w:r>
        <w:rPr>
          <w:color w:val="FFFFFF" w:themeColor="background1"/>
          <w14:textFill>
            <w14:solidFill>
              <w14:schemeClr w14:val="bg1"/>
            </w14:solidFill>
          </w14:textFill>
        </w:rPr>
        <w:fldChar w:fldCharType="end"/>
      </w:r>
      <w:r>
        <w:rPr>
          <w:rFonts w:ascii="宋体" w:hAnsi="宋体" w:eastAsia="宋体"/>
          <w:bCs w:val="0"/>
          <w:color w:val="auto"/>
          <w:szCs w:val="24"/>
        </w:rPr>
        <w:fldChar w:fldCharType="end"/>
      </w:r>
    </w:p>
    <w:p w14:paraId="3EAB047D">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_Toc6391 </w:instrText>
      </w:r>
      <w:r>
        <w:rPr>
          <w:rFonts w:ascii="宋体" w:hAnsi="宋体" w:eastAsia="宋体"/>
          <w:bCs w:val="0"/>
          <w:color w:val="auto"/>
          <w:szCs w:val="24"/>
        </w:rPr>
        <w:fldChar w:fldCharType="separate"/>
      </w:r>
      <w:r>
        <w:rPr>
          <w:rFonts w:hint="eastAsia" w:ascii="宋体" w:hAnsi="宋体" w:eastAsia="宋体" w:cs="微软雅黑"/>
          <w:color w:val="auto"/>
          <w:szCs w:val="28"/>
          <w:lang w:val="en-US" w:eastAsia="zh-CN"/>
        </w:rPr>
        <w:t>“买单配票”、虚构交易等骗税行为均被依法查处</w:t>
      </w:r>
      <w:r>
        <w:rPr>
          <w:color w:val="auto"/>
        </w:rPr>
        <w:tab/>
      </w:r>
      <w:r>
        <w:rPr>
          <w:color w:val="auto"/>
        </w:rPr>
        <w:fldChar w:fldCharType="begin"/>
      </w:r>
      <w:r>
        <w:rPr>
          <w:color w:val="auto"/>
        </w:rPr>
        <w:instrText xml:space="preserve"> PAGEREF _Toc6391 \h </w:instrText>
      </w:r>
      <w:r>
        <w:rPr>
          <w:color w:val="auto"/>
        </w:rPr>
        <w:fldChar w:fldCharType="separate"/>
      </w:r>
      <w:r>
        <w:rPr>
          <w:color w:val="auto"/>
        </w:rPr>
        <w:t>12</w:t>
      </w:r>
      <w:r>
        <w:rPr>
          <w:color w:val="auto"/>
        </w:rPr>
        <w:fldChar w:fldCharType="end"/>
      </w:r>
      <w:r>
        <w:rPr>
          <w:rFonts w:ascii="宋体" w:hAnsi="宋体" w:eastAsia="宋体"/>
          <w:bCs w:val="0"/>
          <w:color w:val="auto"/>
          <w:szCs w:val="24"/>
        </w:rPr>
        <w:fldChar w:fldCharType="end"/>
      </w:r>
    </w:p>
    <w:p w14:paraId="676CE0B0">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_Toc25586 </w:instrText>
      </w:r>
      <w:r>
        <w:rPr>
          <w:rFonts w:ascii="宋体" w:hAnsi="宋体" w:eastAsia="宋体"/>
          <w:bCs w:val="0"/>
          <w:color w:val="auto"/>
          <w:szCs w:val="24"/>
        </w:rPr>
        <w:fldChar w:fldCharType="separate"/>
      </w:r>
      <w:r>
        <w:rPr>
          <w:rFonts w:hint="default" w:ascii="宋体" w:hAnsi="宋体" w:eastAsia="宋体" w:cs="微软雅黑"/>
          <w:color w:val="auto"/>
          <w:szCs w:val="28"/>
          <w:lang w:val="en-US" w:eastAsia="zh-CN"/>
        </w:rPr>
        <w:t>税务部门曝光4起骗享税费优惠偷税案件</w:t>
      </w:r>
      <w:r>
        <w:rPr>
          <w:color w:val="auto"/>
        </w:rPr>
        <w:tab/>
      </w:r>
      <w:r>
        <w:rPr>
          <w:color w:val="auto"/>
        </w:rPr>
        <w:fldChar w:fldCharType="begin"/>
      </w:r>
      <w:r>
        <w:rPr>
          <w:color w:val="auto"/>
        </w:rPr>
        <w:instrText xml:space="preserve"> PAGEREF _Toc25586 \h </w:instrText>
      </w:r>
      <w:r>
        <w:rPr>
          <w:color w:val="auto"/>
        </w:rPr>
        <w:fldChar w:fldCharType="separate"/>
      </w:r>
      <w:r>
        <w:rPr>
          <w:color w:val="auto"/>
        </w:rPr>
        <w:t>15</w:t>
      </w:r>
      <w:r>
        <w:rPr>
          <w:color w:val="auto"/>
        </w:rPr>
        <w:fldChar w:fldCharType="end"/>
      </w:r>
      <w:r>
        <w:rPr>
          <w:rFonts w:ascii="宋体" w:hAnsi="宋体" w:eastAsia="宋体"/>
          <w:bCs w:val="0"/>
          <w:color w:val="auto"/>
          <w:szCs w:val="24"/>
        </w:rPr>
        <w:fldChar w:fldCharType="end"/>
      </w:r>
    </w:p>
    <w:p w14:paraId="4CE701B1">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_Toc5261 </w:instrText>
      </w:r>
      <w:r>
        <w:rPr>
          <w:rFonts w:ascii="宋体" w:hAnsi="宋体" w:eastAsia="宋体"/>
          <w:bCs w:val="0"/>
          <w:szCs w:val="24"/>
        </w:rPr>
        <w:fldChar w:fldCharType="separate"/>
      </w:r>
      <w:r>
        <w:rPr>
          <w:rFonts w:hint="eastAsia" w:ascii="宋体" w:hAnsi="宋体" w:eastAsia="宋体" w:cs="微软雅黑"/>
          <w:color w:val="auto"/>
          <w:szCs w:val="28"/>
          <w:lang w:val="en-US" w:eastAsia="zh-CN"/>
        </w:rPr>
        <w:t>税务部门再次曝光2起网络主播偷税案件</w:t>
      </w:r>
      <w:r>
        <w:tab/>
      </w:r>
      <w:r>
        <w:fldChar w:fldCharType="begin"/>
      </w:r>
      <w:r>
        <w:instrText xml:space="preserve"> PAGEREF _Toc5261 \h </w:instrText>
      </w:r>
      <w:r>
        <w:fldChar w:fldCharType="separate"/>
      </w:r>
      <w:r>
        <w:t>17</w:t>
      </w:r>
      <w:r>
        <w:fldChar w:fldCharType="end"/>
      </w:r>
      <w:r>
        <w:rPr>
          <w:rFonts w:ascii="宋体" w:hAnsi="宋体" w:eastAsia="宋体"/>
          <w:bCs w:val="0"/>
          <w:color w:val="000000" w:themeColor="text1"/>
          <w:szCs w:val="24"/>
          <w14:textFill>
            <w14:solidFill>
              <w14:schemeClr w14:val="tx1"/>
            </w14:solidFill>
          </w14:textFill>
        </w:rPr>
        <w:fldChar w:fldCharType="end"/>
      </w:r>
    </w:p>
    <w:p w14:paraId="09EE39A3">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_Toc197 </w:instrText>
      </w:r>
      <w:r>
        <w:rPr>
          <w:rFonts w:ascii="宋体" w:hAnsi="宋体" w:eastAsia="宋体"/>
          <w:bCs w:val="0"/>
          <w:color w:val="auto"/>
          <w:szCs w:val="24"/>
        </w:rPr>
        <w:fldChar w:fldCharType="separate"/>
      </w:r>
      <w:r>
        <w:rPr>
          <w:rFonts w:hint="eastAsia" w:ascii="宋体" w:hAnsi="宋体" w:eastAsia="宋体" w:cs="微软雅黑"/>
          <w:color w:val="auto"/>
          <w:szCs w:val="28"/>
          <w:lang w:val="en-US" w:eastAsia="zh-CN"/>
        </w:rPr>
        <w:t>将系统施治进一步规范网络主播行业税收秩序</w:t>
      </w:r>
      <w:r>
        <w:rPr>
          <w:color w:val="auto"/>
        </w:rPr>
        <w:tab/>
      </w:r>
      <w:r>
        <w:rPr>
          <w:color w:val="auto"/>
        </w:rPr>
        <w:fldChar w:fldCharType="begin"/>
      </w:r>
      <w:r>
        <w:rPr>
          <w:color w:val="auto"/>
        </w:rPr>
        <w:instrText xml:space="preserve"> PAGEREF _Toc197 \h </w:instrText>
      </w:r>
      <w:r>
        <w:rPr>
          <w:color w:val="auto"/>
        </w:rPr>
        <w:fldChar w:fldCharType="separate"/>
      </w:r>
      <w:r>
        <w:rPr>
          <w:color w:val="auto"/>
        </w:rPr>
        <w:t>17</w:t>
      </w:r>
      <w:r>
        <w:rPr>
          <w:color w:val="auto"/>
        </w:rPr>
        <w:fldChar w:fldCharType="end"/>
      </w:r>
      <w:r>
        <w:rPr>
          <w:rFonts w:ascii="宋体" w:hAnsi="宋体" w:eastAsia="宋体"/>
          <w:bCs w:val="0"/>
          <w:color w:val="auto"/>
          <w:szCs w:val="24"/>
        </w:rPr>
        <w:fldChar w:fldCharType="end"/>
      </w:r>
    </w:p>
    <w:p w14:paraId="1AA9134F">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_Toc27122 </w:instrText>
      </w:r>
      <w:r>
        <w:rPr>
          <w:rFonts w:ascii="宋体" w:hAnsi="宋体" w:eastAsia="宋体"/>
          <w:bCs w:val="0"/>
          <w:szCs w:val="24"/>
        </w:rPr>
        <w:fldChar w:fldCharType="separate"/>
      </w:r>
      <w:r>
        <w:rPr>
          <w:rFonts w:hint="eastAsia" w:ascii="宋体" w:hAnsi="宋体" w:eastAsia="宋体"/>
          <w:highlight w:val="darkGray"/>
        </w:rPr>
        <w:t>税收政策速递</w:t>
      </w:r>
      <w:r>
        <w:tab/>
      </w:r>
      <w:r>
        <w:fldChar w:fldCharType="begin"/>
      </w:r>
      <w:r>
        <w:instrText xml:space="preserve"> PAGEREF _Toc27122 \h </w:instrText>
      </w:r>
      <w:r>
        <w:fldChar w:fldCharType="separate"/>
      </w:r>
      <w:r>
        <w:t>19</w:t>
      </w:r>
      <w:r>
        <w:fldChar w:fldCharType="end"/>
      </w:r>
      <w:r>
        <w:rPr>
          <w:rFonts w:ascii="宋体" w:hAnsi="宋体" w:eastAsia="宋体"/>
          <w:bCs w:val="0"/>
          <w:color w:val="000000" w:themeColor="text1"/>
          <w:szCs w:val="24"/>
          <w14:textFill>
            <w14:solidFill>
              <w14:schemeClr w14:val="tx1"/>
            </w14:solidFill>
          </w14:textFill>
        </w:rPr>
        <w:fldChar w:fldCharType="end"/>
      </w:r>
    </w:p>
    <w:p w14:paraId="22D53F15">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_Toc27935 </w:instrText>
      </w:r>
      <w:r>
        <w:rPr>
          <w:rFonts w:ascii="宋体" w:hAnsi="宋体" w:eastAsia="宋体"/>
          <w:bCs w:val="0"/>
          <w:color w:val="auto"/>
          <w:szCs w:val="24"/>
        </w:rPr>
        <w:fldChar w:fldCharType="separate"/>
      </w:r>
      <w:r>
        <w:rPr>
          <w:rFonts w:hint="eastAsia" w:ascii="宋体" w:hAnsi="宋体" w:eastAsia="宋体" w:cs="微软雅黑"/>
          <w:color w:val="auto"/>
          <w:szCs w:val="28"/>
        </w:rPr>
        <w:t>关于《国家税务总局关于调整增值税纳税申报有关事项的公告》的解读</w:t>
      </w:r>
      <w:r>
        <w:rPr>
          <w:color w:val="auto"/>
        </w:rPr>
        <w:tab/>
      </w:r>
      <w:r>
        <w:rPr>
          <w:color w:val="auto"/>
        </w:rPr>
        <w:fldChar w:fldCharType="begin"/>
      </w:r>
      <w:r>
        <w:rPr>
          <w:color w:val="auto"/>
        </w:rPr>
        <w:instrText xml:space="preserve"> PAGEREF _Toc27935 \h </w:instrText>
      </w:r>
      <w:r>
        <w:rPr>
          <w:color w:val="auto"/>
        </w:rPr>
        <w:fldChar w:fldCharType="separate"/>
      </w:r>
      <w:r>
        <w:rPr>
          <w:color w:val="auto"/>
        </w:rPr>
        <w:t>19</w:t>
      </w:r>
      <w:r>
        <w:rPr>
          <w:color w:val="auto"/>
        </w:rPr>
        <w:fldChar w:fldCharType="end"/>
      </w:r>
      <w:r>
        <w:rPr>
          <w:rFonts w:ascii="宋体" w:hAnsi="宋体" w:eastAsia="宋体"/>
          <w:bCs w:val="0"/>
          <w:color w:val="auto"/>
          <w:szCs w:val="24"/>
        </w:rPr>
        <w:fldChar w:fldCharType="end"/>
      </w:r>
    </w:p>
    <w:p w14:paraId="0A7741B4">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_Toc12592 </w:instrText>
      </w:r>
      <w:r>
        <w:rPr>
          <w:rFonts w:ascii="宋体" w:hAnsi="宋体" w:eastAsia="宋体"/>
          <w:bCs w:val="0"/>
          <w:color w:val="auto"/>
          <w:szCs w:val="24"/>
        </w:rPr>
        <w:fldChar w:fldCharType="separate"/>
      </w:r>
      <w:r>
        <w:rPr>
          <w:rFonts w:hint="eastAsia" w:ascii="宋体" w:hAnsi="宋体" w:eastAsia="宋体" w:cs="微软雅黑"/>
          <w:color w:val="auto"/>
          <w:szCs w:val="28"/>
        </w:rPr>
        <w:t>关于《国家税务总局关于发布〈出口业务增值税和消费税退（免）税管理办法〉的公告》的解读</w:t>
      </w:r>
      <w:r>
        <w:rPr>
          <w:color w:val="auto"/>
        </w:rPr>
        <w:tab/>
      </w:r>
      <w:r>
        <w:rPr>
          <w:color w:val="auto"/>
        </w:rPr>
        <w:fldChar w:fldCharType="begin"/>
      </w:r>
      <w:r>
        <w:rPr>
          <w:color w:val="auto"/>
        </w:rPr>
        <w:instrText xml:space="preserve"> PAGEREF _Toc12592 \h </w:instrText>
      </w:r>
      <w:r>
        <w:rPr>
          <w:color w:val="auto"/>
        </w:rPr>
        <w:fldChar w:fldCharType="separate"/>
      </w:r>
      <w:r>
        <w:rPr>
          <w:color w:val="auto"/>
        </w:rPr>
        <w:t>26</w:t>
      </w:r>
      <w:r>
        <w:rPr>
          <w:color w:val="auto"/>
        </w:rPr>
        <w:fldChar w:fldCharType="end"/>
      </w:r>
      <w:r>
        <w:rPr>
          <w:rFonts w:ascii="宋体" w:hAnsi="宋体" w:eastAsia="宋体"/>
          <w:bCs w:val="0"/>
          <w:color w:val="auto"/>
          <w:szCs w:val="24"/>
        </w:rPr>
        <w:fldChar w:fldCharType="end"/>
      </w:r>
    </w:p>
    <w:p w14:paraId="3E74E02A">
      <w:pPr>
        <w:pStyle w:val="15"/>
        <w:tabs>
          <w:tab w:val="right" w:leader="dot" w:pos="8306"/>
          <w:tab w:val="clear" w:pos="8296"/>
        </w:tabs>
        <w:rPr>
          <w:color w:val="auto"/>
        </w:rPr>
      </w:pPr>
      <w:r>
        <w:rPr>
          <w:rFonts w:ascii="宋体" w:hAnsi="宋体" w:eastAsia="宋体"/>
          <w:bCs w:val="0"/>
          <w:color w:val="auto"/>
          <w:szCs w:val="24"/>
        </w:rPr>
        <w:fldChar w:fldCharType="begin"/>
      </w:r>
      <w:r>
        <w:rPr>
          <w:rFonts w:ascii="宋体" w:hAnsi="宋体" w:eastAsia="宋体"/>
          <w:bCs w:val="0"/>
          <w:color w:val="auto"/>
          <w:szCs w:val="24"/>
        </w:rPr>
        <w:instrText xml:space="preserve"> HYPERLINK \l _Toc6742 </w:instrText>
      </w:r>
      <w:r>
        <w:rPr>
          <w:rFonts w:ascii="宋体" w:hAnsi="宋体" w:eastAsia="宋体"/>
          <w:bCs w:val="0"/>
          <w:color w:val="auto"/>
          <w:szCs w:val="24"/>
        </w:rPr>
        <w:fldChar w:fldCharType="separate"/>
      </w:r>
      <w:r>
        <w:rPr>
          <w:rFonts w:hint="eastAsia" w:ascii="宋体" w:hAnsi="宋体" w:eastAsia="宋体" w:cs="微软雅黑"/>
          <w:color w:val="auto"/>
          <w:szCs w:val="28"/>
        </w:rPr>
        <w:t>关于《国家税务总局关于增值税一般纳税人登记管理有关事项的公告》的解读</w:t>
      </w:r>
      <w:r>
        <w:rPr>
          <w:color w:val="auto"/>
        </w:rPr>
        <w:tab/>
      </w:r>
      <w:r>
        <w:rPr>
          <w:color w:val="auto"/>
        </w:rPr>
        <w:fldChar w:fldCharType="begin"/>
      </w:r>
      <w:r>
        <w:rPr>
          <w:color w:val="auto"/>
        </w:rPr>
        <w:instrText xml:space="preserve"> PAGEREF _Toc6742 \h </w:instrText>
      </w:r>
      <w:r>
        <w:rPr>
          <w:color w:val="auto"/>
        </w:rPr>
        <w:fldChar w:fldCharType="separate"/>
      </w:r>
      <w:r>
        <w:rPr>
          <w:color w:val="auto"/>
        </w:rPr>
        <w:t>43</w:t>
      </w:r>
      <w:r>
        <w:rPr>
          <w:color w:val="auto"/>
        </w:rPr>
        <w:fldChar w:fldCharType="end"/>
      </w:r>
      <w:r>
        <w:rPr>
          <w:rFonts w:ascii="宋体" w:hAnsi="宋体" w:eastAsia="宋体"/>
          <w:bCs w:val="0"/>
          <w:color w:val="auto"/>
          <w:szCs w:val="24"/>
        </w:rPr>
        <w:fldChar w:fldCharType="end"/>
      </w:r>
    </w:p>
    <w:p w14:paraId="1D2F0380">
      <w:pPr>
        <w:pStyle w:val="15"/>
        <w:tabs>
          <w:tab w:val="right" w:leader="dot" w:pos="8306"/>
          <w:tab w:val="clear" w:pos="8296"/>
        </w:tabs>
      </w:pPr>
      <w:r>
        <w:rPr>
          <w:rFonts w:ascii="宋体" w:hAnsi="宋体" w:eastAsia="宋体"/>
          <w:bCs w:val="0"/>
          <w:color w:val="000000" w:themeColor="text1"/>
          <w:szCs w:val="24"/>
          <w14:textFill>
            <w14:solidFill>
              <w14:schemeClr w14:val="tx1"/>
            </w14:solidFill>
          </w14:textFill>
        </w:rPr>
        <w:fldChar w:fldCharType="begin"/>
      </w:r>
      <w:r>
        <w:rPr>
          <w:rFonts w:ascii="宋体" w:hAnsi="宋体" w:eastAsia="宋体"/>
          <w:bCs w:val="0"/>
          <w:szCs w:val="24"/>
        </w:rPr>
        <w:instrText xml:space="preserve"> HYPERLINK \l _Toc28280 </w:instrText>
      </w:r>
      <w:r>
        <w:rPr>
          <w:rFonts w:ascii="宋体" w:hAnsi="宋体" w:eastAsia="宋体"/>
          <w:bCs w:val="0"/>
          <w:szCs w:val="24"/>
        </w:rPr>
        <w:fldChar w:fldCharType="separate"/>
      </w:r>
      <w:r>
        <w:rPr>
          <w:rFonts w:hint="eastAsia" w:ascii="宋体" w:hAnsi="宋体" w:eastAsia="宋体"/>
          <w:highlight w:val="darkGray"/>
        </w:rPr>
        <w:t>专业</w:t>
      </w:r>
      <w:r>
        <w:rPr>
          <w:rFonts w:ascii="宋体" w:hAnsi="宋体" w:eastAsia="宋体"/>
          <w:highlight w:val="darkGray"/>
        </w:rPr>
        <w:t>委员会</w:t>
      </w:r>
      <w:r>
        <w:rPr>
          <w:rFonts w:hint="eastAsia" w:ascii="宋体" w:hAnsi="宋体" w:eastAsia="宋体"/>
          <w:highlight w:val="darkGray"/>
        </w:rPr>
        <w:t>介绍</w:t>
      </w:r>
      <w:r>
        <w:tab/>
      </w:r>
      <w:r>
        <w:fldChar w:fldCharType="begin"/>
      </w:r>
      <w:r>
        <w:instrText xml:space="preserve"> PAGEREF _Toc28280 \h </w:instrText>
      </w:r>
      <w:r>
        <w:fldChar w:fldCharType="separate"/>
      </w:r>
      <w:r>
        <w:t>54</w:t>
      </w:r>
      <w:r>
        <w:fldChar w:fldCharType="end"/>
      </w:r>
      <w:r>
        <w:rPr>
          <w:rFonts w:ascii="宋体" w:hAnsi="宋体" w:eastAsia="宋体"/>
          <w:bCs w:val="0"/>
          <w:color w:val="000000" w:themeColor="text1"/>
          <w:szCs w:val="24"/>
          <w14:textFill>
            <w14:solidFill>
              <w14:schemeClr w14:val="tx1"/>
            </w14:solidFill>
          </w14:textFill>
        </w:rPr>
        <w:fldChar w:fldCharType="end"/>
      </w:r>
    </w:p>
    <w:p w14:paraId="769E5FF3">
      <w:pPr>
        <w:pStyle w:val="22"/>
        <w:spacing w:before="0" w:afterLines="50" w:line="360" w:lineRule="auto"/>
        <w:jc w:val="both"/>
        <w:rPr>
          <w:rFonts w:hint="eastAsia" w:ascii="宋体" w:hAnsi="宋体" w:eastAsia="宋体" w:cs="宋体"/>
          <w:color w:val="0000FF"/>
          <w:sz w:val="28"/>
          <w:szCs w:val="28"/>
        </w:rPr>
      </w:pPr>
      <w:r>
        <w:rPr>
          <w:rFonts w:ascii="宋体" w:hAnsi="宋体" w:eastAsia="宋体"/>
          <w:bCs w:val="0"/>
          <w:color w:val="000000" w:themeColor="text1"/>
          <w:szCs w:val="24"/>
          <w14:textFill>
            <w14:solidFill>
              <w14:schemeClr w14:val="tx1"/>
            </w14:solidFill>
          </w14:textFill>
        </w:rPr>
        <w:fldChar w:fldCharType="end"/>
      </w:r>
    </w:p>
    <w:p w14:paraId="7476E056">
      <w:pPr>
        <w:sectPr>
          <w:pgSz w:w="11906" w:h="16838"/>
          <w:pgMar w:top="1440" w:right="1800" w:bottom="1440" w:left="1800" w:header="851" w:footer="992" w:gutter="0"/>
          <w:pgNumType w:fmt="numberInDash" w:start="0"/>
          <w:cols w:space="425" w:num="1"/>
          <w:titlePg/>
          <w:docGrid w:type="lines" w:linePitch="312" w:charSpace="0"/>
        </w:sectPr>
      </w:pPr>
    </w:p>
    <w:p w14:paraId="3EF2FF3F">
      <w:pPr>
        <w:pStyle w:val="22"/>
        <w:spacing w:beforeLines="50" w:afterLines="50" w:line="520" w:lineRule="exact"/>
        <w:jc w:val="both"/>
        <w:rPr>
          <w:rFonts w:ascii="宋体" w:hAnsi="宋体" w:eastAsia="宋体"/>
          <w:color w:val="FFFFFF" w:themeColor="background1"/>
          <w:sz w:val="28"/>
          <w:szCs w:val="28"/>
          <w14:textFill>
            <w14:solidFill>
              <w14:schemeClr w14:val="bg1"/>
            </w14:solidFill>
          </w14:textFill>
        </w:rPr>
      </w:pPr>
      <w:bookmarkStart w:id="28" w:name="_Toc140334221"/>
      <w:bookmarkStart w:id="29" w:name="_Toc12662"/>
      <w:r>
        <w:rPr>
          <w:rFonts w:hint="eastAsia" w:ascii="宋体" w:hAnsi="宋体" w:eastAsia="宋体"/>
          <w:color w:val="FFFFFF" w:themeColor="background1"/>
          <w:highlight w:val="darkGray"/>
          <w14:textFill>
            <w14:solidFill>
              <w14:schemeClr w14:val="bg1"/>
            </w14:solidFill>
          </w14:textFill>
        </w:rPr>
        <w:t>行业资讯</w:t>
      </w:r>
      <w:bookmarkEnd w:id="28"/>
      <w:bookmarkEnd w:id="29"/>
    </w:p>
    <w:p w14:paraId="38C1B934">
      <w:pPr>
        <w:pStyle w:val="2"/>
        <w:jc w:val="center"/>
        <w:rPr>
          <w:rFonts w:hint="eastAsia" w:ascii="宋体" w:hAnsi="宋体" w:eastAsia="宋体" w:cs="微软雅黑"/>
          <w:color w:val="0070C0"/>
          <w:sz w:val="28"/>
          <w:szCs w:val="28"/>
          <w:lang w:val="en-US" w:eastAsia="zh-CN"/>
        </w:rPr>
      </w:pPr>
      <w:bookmarkStart w:id="30" w:name="_Toc3297"/>
      <w:r>
        <w:rPr>
          <w:rFonts w:hint="eastAsia" w:ascii="宋体" w:hAnsi="宋体" w:eastAsia="宋体" w:cs="微软雅黑"/>
          <w:color w:val="0070C0"/>
          <w:sz w:val="28"/>
          <w:szCs w:val="28"/>
          <w:lang w:val="en-US" w:eastAsia="zh-CN"/>
        </w:rPr>
        <w:t>国家税务总局党委传达学习贯彻习近平总书记在</w:t>
      </w:r>
      <w:bookmarkEnd w:id="30"/>
    </w:p>
    <w:p w14:paraId="21B4FCC1">
      <w:pPr>
        <w:pStyle w:val="2"/>
        <w:jc w:val="center"/>
        <w:rPr>
          <w:rFonts w:hint="eastAsia" w:eastAsia="宋体"/>
          <w:lang w:eastAsia="zh-CN"/>
        </w:rPr>
      </w:pPr>
      <w:bookmarkStart w:id="31" w:name="_Toc10602"/>
      <w:r>
        <w:rPr>
          <w:rFonts w:hint="eastAsia" w:ascii="宋体" w:hAnsi="宋体" w:eastAsia="宋体" w:cs="微软雅黑"/>
          <w:color w:val="0070C0"/>
          <w:sz w:val="28"/>
          <w:szCs w:val="28"/>
          <w:lang w:val="en-US" w:eastAsia="zh-CN"/>
        </w:rPr>
        <w:t>全国两会期间的重要讲话精神和全国两会精神</w:t>
      </w:r>
      <w:bookmarkEnd w:id="31"/>
    </w:p>
    <w:p w14:paraId="44643E0B">
      <w:pPr>
        <w:pStyle w:val="21"/>
        <w:spacing w:before="240" w:after="240" w:line="540" w:lineRule="atLeast"/>
        <w:ind w:firstLine="480"/>
        <w:jc w:val="both"/>
        <w:rPr>
          <w:rFonts w:hint="eastAsia"/>
          <w:lang w:val="en-US" w:eastAsia="zh-CN"/>
        </w:rPr>
      </w:pPr>
      <w:r>
        <w:rPr>
          <w:rFonts w:hint="eastAsia"/>
          <w:lang w:val="en-US" w:eastAsia="zh-CN"/>
        </w:rPr>
        <w:t>3月16日，国家税务总局党委书记、局长胡静林主持召开党委（扩大）会议暨党委理论学习中心组学习会议，传达学习贯彻习近平总书记在全国两会期间的重要讲话精神和全国两会精神，研究部署税务系统贯彻落实措施。</w:t>
      </w:r>
    </w:p>
    <w:p w14:paraId="5AC7C3AE">
      <w:pPr>
        <w:pStyle w:val="21"/>
        <w:spacing w:before="240" w:after="240" w:line="540" w:lineRule="atLeast"/>
        <w:ind w:firstLine="480"/>
        <w:jc w:val="both"/>
        <w:rPr>
          <w:rFonts w:hint="eastAsia"/>
          <w:lang w:val="en-US" w:eastAsia="zh-CN"/>
        </w:rPr>
      </w:pPr>
      <w:r>
        <w:rPr>
          <w:rFonts w:hint="eastAsia"/>
          <w:lang w:val="en-US" w:eastAsia="zh-CN"/>
        </w:rPr>
        <w:t>会议指出，今年是“十五五”开局之年，刚刚闭幕的全国两会，对进一步凝聚共识、提振信心，动员全国各族人民更加紧密地团结在党中央周围，全面推进强国建设、民族复兴伟业具有重大意义。习近平总书记在全国两会期间发表的一系列重要讲话，深刻阐述和回答了新征程上深入推进高质量发展的一系列重大理论和实践问题，高屋建瓴、思想深邃、内涵丰富，充分彰显了习近平总书记治国理政的高超政治智慧和念兹在兹的深厚为民情怀，为做好当前和今后一个时期工作提供了根本遵循。今年的政府工作报告全面总结了过去一年我国经济社会发展取得的新进展新成就，明确了今年和今后五年政府工作的总体思路和重点任务，高举旗帜、凝聚人心、顺应民意，为进一步做好税收服务高质量发展工作指明了方向。</w:t>
      </w:r>
    </w:p>
    <w:p w14:paraId="15BDD7FE">
      <w:pPr>
        <w:pStyle w:val="21"/>
        <w:spacing w:before="240" w:after="240" w:line="540" w:lineRule="atLeast"/>
        <w:ind w:firstLine="480"/>
        <w:jc w:val="both"/>
        <w:rPr>
          <w:rFonts w:hint="eastAsia"/>
          <w:lang w:val="en-US" w:eastAsia="zh-CN"/>
        </w:rPr>
      </w:pPr>
      <w:r>
        <w:rPr>
          <w:rFonts w:hint="eastAsia"/>
          <w:lang w:val="en-US" w:eastAsia="zh-CN"/>
        </w:rPr>
        <w:t>会议强调，各级税务机关要把学习贯彻习近平总书记重要讲话精神和全国两会精神作为当前一项重要政治任务，与深入学习贯彻党的二十届四中全会和中央经济工作会议精神紧密结合起来，与深入开展树立和践行正确政绩观学习教育紧密结合起来，进一步深刻领悟“两个确立”的决定性意义，增强“四个意识”、坚定“四个自信”、做到“两个维护”，坚决当好贯彻党中央决策部署的执行者、行动派、实干家。要认真按照政府工作报告和“十五五”规划纲要部署，高质量编制实施“十五五”时期税务改革发展规划，更高标准扛牢征税收费主责主业，更好夯实国家财力基础。要重点围绕纵深推进全国统一大市场建设，发挥垂管优势，积极主动作为，切实抓好“开票经济”及违规招商引资涉税问题专项治理，坚决维护党中央权威，更好服务高质量发展全局。</w:t>
      </w:r>
    </w:p>
    <w:p w14:paraId="3637E399">
      <w:pPr>
        <w:pStyle w:val="21"/>
        <w:spacing w:before="240" w:after="240" w:line="540" w:lineRule="atLeast"/>
        <w:ind w:firstLine="480"/>
        <w:jc w:val="both"/>
        <w:rPr>
          <w:rFonts w:hint="eastAsia"/>
          <w:lang w:val="en-US" w:eastAsia="zh-CN"/>
        </w:rPr>
      </w:pPr>
      <w:r>
        <w:rPr>
          <w:rFonts w:hint="eastAsia"/>
          <w:lang w:val="en-US" w:eastAsia="zh-CN"/>
        </w:rPr>
        <w:t>会议还对税务部门做好两会建议提案办理工作进行了部署，要求从讲政治的高度，高标准高质量做好建议提案办理，充分吸纳和借鉴建议提案中的真知灼见，切实抓好成果转化，不断推进各项税务工作提质增效。</w:t>
      </w:r>
    </w:p>
    <w:p w14:paraId="0DF25667">
      <w:pPr>
        <w:pStyle w:val="21"/>
        <w:spacing w:before="240" w:after="240" w:line="540" w:lineRule="atLeast"/>
        <w:ind w:firstLine="480"/>
        <w:jc w:val="both"/>
        <w:rPr>
          <w:rFonts w:hint="eastAsia"/>
          <w:lang w:val="en-US" w:eastAsia="zh-CN"/>
        </w:rPr>
      </w:pPr>
      <w:r>
        <w:rPr>
          <w:rFonts w:hint="eastAsia"/>
          <w:lang w:val="en-US" w:eastAsia="zh-CN"/>
        </w:rPr>
        <w:t>税务总局领导班子成员参加会议，相关局领导结合参加全国两会和学习情况谈了心得体会并进行交流发言。中央纪委国家监委驻税务总局纪检监察组有关负责同志和税务总局机关各司局、直属单位主要负责同志列席会议。</w:t>
      </w:r>
    </w:p>
    <w:p w14:paraId="70885E31">
      <w:pPr>
        <w:shd w:val="clear" w:color="auto" w:fill="FFFFFF"/>
        <w:spacing w:line="520" w:lineRule="exact"/>
        <w:ind w:firstLine="480" w:firstLineChars="200"/>
        <w:jc w:val="right"/>
        <w:rPr>
          <w:rFonts w:hint="eastAsia"/>
          <w:color w:val="A6A6A6" w:themeColor="background1" w:themeShade="A6"/>
        </w:rPr>
      </w:pPr>
      <w:r>
        <w:rPr>
          <w:rFonts w:hint="eastAsia"/>
          <w:color w:val="A6A6A6" w:themeColor="background1" w:themeShade="A6"/>
        </w:rPr>
        <w:t>（来源：国家税务总局网站）</w:t>
      </w:r>
    </w:p>
    <w:p w14:paraId="4F7B8B59">
      <w:pPr>
        <w:pStyle w:val="2"/>
        <w:jc w:val="center"/>
        <w:rPr>
          <w:rFonts w:hint="eastAsia" w:ascii="宋体" w:hAnsi="宋体" w:eastAsia="宋体" w:cs="微软雅黑"/>
          <w:color w:val="0070C0"/>
          <w:sz w:val="28"/>
          <w:szCs w:val="28"/>
          <w:lang w:val="en-US" w:eastAsia="zh-CN"/>
        </w:rPr>
      </w:pPr>
    </w:p>
    <w:p w14:paraId="69A8E251">
      <w:pPr>
        <w:rPr>
          <w:rFonts w:hint="eastAsia" w:ascii="宋体" w:hAnsi="宋体" w:eastAsia="宋体" w:cs="微软雅黑"/>
          <w:color w:val="0070C0"/>
          <w:sz w:val="28"/>
          <w:szCs w:val="28"/>
          <w:lang w:val="en-US" w:eastAsia="zh-CN"/>
        </w:rPr>
      </w:pPr>
    </w:p>
    <w:p w14:paraId="6571E39F">
      <w:pPr>
        <w:rPr>
          <w:rFonts w:hint="eastAsia" w:ascii="宋体" w:hAnsi="宋体" w:eastAsia="宋体" w:cs="微软雅黑"/>
          <w:color w:val="0070C0"/>
          <w:sz w:val="28"/>
          <w:szCs w:val="28"/>
          <w:lang w:val="en-US" w:eastAsia="zh-CN"/>
        </w:rPr>
      </w:pPr>
    </w:p>
    <w:p w14:paraId="3F4D0F0D">
      <w:pPr>
        <w:rPr>
          <w:rFonts w:hint="eastAsia" w:ascii="宋体" w:hAnsi="宋体" w:eastAsia="宋体" w:cs="微软雅黑"/>
          <w:color w:val="0070C0"/>
          <w:sz w:val="28"/>
          <w:szCs w:val="28"/>
          <w:lang w:val="en-US" w:eastAsia="zh-CN"/>
        </w:rPr>
      </w:pPr>
    </w:p>
    <w:p w14:paraId="352091BC">
      <w:pPr>
        <w:rPr>
          <w:rFonts w:hint="eastAsia" w:ascii="宋体" w:hAnsi="宋体" w:eastAsia="宋体" w:cs="微软雅黑"/>
          <w:color w:val="0070C0"/>
          <w:sz w:val="28"/>
          <w:szCs w:val="28"/>
          <w:lang w:val="en-US" w:eastAsia="zh-CN"/>
        </w:rPr>
      </w:pPr>
    </w:p>
    <w:p w14:paraId="641A25DD">
      <w:pPr>
        <w:rPr>
          <w:rFonts w:hint="eastAsia" w:ascii="宋体" w:hAnsi="宋体" w:eastAsia="宋体" w:cs="微软雅黑"/>
          <w:color w:val="0070C0"/>
          <w:sz w:val="28"/>
          <w:szCs w:val="28"/>
          <w:lang w:val="en-US" w:eastAsia="zh-CN"/>
        </w:rPr>
      </w:pPr>
    </w:p>
    <w:p w14:paraId="0608C17C">
      <w:pPr>
        <w:rPr>
          <w:rFonts w:hint="eastAsia" w:ascii="宋体" w:hAnsi="宋体" w:eastAsia="宋体" w:cs="微软雅黑"/>
          <w:color w:val="0070C0"/>
          <w:sz w:val="28"/>
          <w:szCs w:val="28"/>
          <w:lang w:val="en-US" w:eastAsia="zh-CN"/>
        </w:rPr>
      </w:pPr>
    </w:p>
    <w:p w14:paraId="246007E7">
      <w:pPr>
        <w:rPr>
          <w:rFonts w:hint="eastAsia" w:ascii="宋体" w:hAnsi="宋体" w:eastAsia="宋体" w:cs="微软雅黑"/>
          <w:color w:val="0070C0"/>
          <w:sz w:val="28"/>
          <w:szCs w:val="28"/>
          <w:lang w:val="en-US" w:eastAsia="zh-CN"/>
        </w:rPr>
      </w:pPr>
    </w:p>
    <w:p w14:paraId="4B02A4EC">
      <w:pPr>
        <w:rPr>
          <w:rFonts w:hint="eastAsia" w:ascii="宋体" w:hAnsi="宋体" w:eastAsia="宋体" w:cs="微软雅黑"/>
          <w:color w:val="0070C0"/>
          <w:sz w:val="28"/>
          <w:szCs w:val="28"/>
          <w:lang w:val="en-US" w:eastAsia="zh-CN"/>
        </w:rPr>
      </w:pPr>
    </w:p>
    <w:p w14:paraId="25D52EDD">
      <w:pPr>
        <w:pStyle w:val="2"/>
        <w:jc w:val="center"/>
        <w:rPr>
          <w:rFonts w:hint="eastAsia" w:ascii="宋体" w:hAnsi="宋体" w:eastAsia="宋体" w:cs="微软雅黑"/>
          <w:color w:val="0070C0"/>
          <w:sz w:val="28"/>
          <w:szCs w:val="28"/>
          <w:lang w:val="en-US" w:eastAsia="zh-CN"/>
        </w:rPr>
      </w:pPr>
      <w:bookmarkStart w:id="32" w:name="_Toc7781"/>
      <w:r>
        <w:rPr>
          <w:rFonts w:hint="eastAsia" w:ascii="宋体" w:hAnsi="宋体" w:eastAsia="宋体" w:cs="微软雅黑"/>
          <w:color w:val="0070C0"/>
          <w:sz w:val="28"/>
          <w:szCs w:val="28"/>
          <w:lang w:val="en-US" w:eastAsia="zh-CN"/>
        </w:rPr>
        <w:t>生态环境部和国家税务总局签署备忘录</w:t>
      </w:r>
      <w:bookmarkEnd w:id="32"/>
    </w:p>
    <w:p w14:paraId="23B3A9EF">
      <w:pPr>
        <w:pStyle w:val="2"/>
        <w:jc w:val="center"/>
        <w:rPr>
          <w:rFonts w:hint="eastAsia" w:ascii="宋体" w:hAnsi="宋体" w:eastAsia="宋体" w:cs="微软雅黑"/>
          <w:color w:val="0070C0"/>
          <w:sz w:val="28"/>
          <w:szCs w:val="28"/>
          <w:lang w:val="en-US" w:eastAsia="zh-CN"/>
        </w:rPr>
      </w:pPr>
      <w:bookmarkStart w:id="33" w:name="_Toc6884"/>
      <w:r>
        <w:rPr>
          <w:rFonts w:hint="eastAsia" w:ascii="宋体" w:hAnsi="宋体" w:eastAsia="宋体" w:cs="微软雅黑"/>
          <w:color w:val="0070C0"/>
          <w:sz w:val="28"/>
          <w:szCs w:val="28"/>
          <w:lang w:val="en-US" w:eastAsia="zh-CN"/>
        </w:rPr>
        <w:t>深化环境保护税征收管理部门协作</w:t>
      </w:r>
      <w:bookmarkEnd w:id="33"/>
    </w:p>
    <w:p w14:paraId="515F9537">
      <w:pPr>
        <w:pStyle w:val="21"/>
        <w:spacing w:before="240" w:after="240" w:line="540" w:lineRule="atLeast"/>
        <w:jc w:val="center"/>
        <w:rPr>
          <w:rFonts w:hint="eastAsia"/>
          <w:lang w:val="en-US" w:eastAsia="zh-CN"/>
        </w:rPr>
      </w:pPr>
      <w:r>
        <w:rPr>
          <w:rFonts w:ascii="宋体" w:hAnsi="宋体" w:eastAsia="宋体" w:cs="宋体"/>
          <w:sz w:val="24"/>
          <w:szCs w:val="24"/>
        </w:rPr>
        <w:drawing>
          <wp:inline distT="0" distB="0" distL="114300" distR="114300">
            <wp:extent cx="5266690" cy="2776220"/>
            <wp:effectExtent l="0" t="0" r="10160" b="508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1"/>
                    <a:stretch>
                      <a:fillRect/>
                    </a:stretch>
                  </pic:blipFill>
                  <pic:spPr>
                    <a:xfrm>
                      <a:off x="0" y="0"/>
                      <a:ext cx="5266690" cy="2776220"/>
                    </a:xfrm>
                    <a:prstGeom prst="rect">
                      <a:avLst/>
                    </a:prstGeom>
                    <a:noFill/>
                    <a:ln w="9525">
                      <a:noFill/>
                    </a:ln>
                  </pic:spPr>
                </pic:pic>
              </a:graphicData>
            </a:graphic>
          </wp:inline>
        </w:drawing>
      </w:r>
    </w:p>
    <w:p w14:paraId="072CE78B">
      <w:pPr>
        <w:pStyle w:val="21"/>
        <w:spacing w:before="240" w:after="240" w:line="540" w:lineRule="atLeast"/>
        <w:ind w:firstLine="480"/>
        <w:jc w:val="both"/>
        <w:rPr>
          <w:rFonts w:hint="eastAsia"/>
          <w:lang w:val="en-US" w:eastAsia="zh-CN"/>
        </w:rPr>
      </w:pPr>
      <w:r>
        <w:rPr>
          <w:rFonts w:hint="default"/>
          <w:lang w:val="en-US" w:eastAsia="zh-CN"/>
        </w:rPr>
        <w:t>2月27日，生态环境部和国家税务总局在京签署《深化环境保护税征收管理部门协作备忘录》，进一步深化两部门协作，持续用税收经济手段保护生态环境，推动经济绿色转型，服务保障美丽中国建设。生态环境部部长黄润秋，国家税务总局党委书记、局长胡静林出席签署仪式。</w:t>
      </w:r>
    </w:p>
    <w:p w14:paraId="70DDACA5">
      <w:pPr>
        <w:pStyle w:val="21"/>
        <w:spacing w:before="240" w:after="240" w:line="540" w:lineRule="atLeast"/>
        <w:ind w:firstLine="480"/>
        <w:jc w:val="both"/>
        <w:rPr>
          <w:rFonts w:hint="default"/>
          <w:lang w:val="en-US" w:eastAsia="zh-CN"/>
        </w:rPr>
      </w:pPr>
      <w:r>
        <w:rPr>
          <w:rFonts w:hint="default"/>
          <w:lang w:val="en-US" w:eastAsia="zh-CN"/>
        </w:rPr>
        <w:t>此次备忘录的签署，是两部门深入贯彻党的二十届三中、四中全会关于完善绿色税制、促进绿色低碳发展部署的重要举措，也是树立和践行正确政绩观、协同推进生态文明建设、提升生态环境治理现代化水平的具体行动。根据备忘录，生态环境部和国家税务总局将进一步深化在信息共享、征管服务、常态复核、联合监管等领域的合作，共同指导地方各级生态环境和税务部门深化协作，不断拓展协同共治的深度和广度，持续推进高效能治理、促进高质量发展。</w:t>
      </w:r>
    </w:p>
    <w:p w14:paraId="6EA102EC">
      <w:pPr>
        <w:pStyle w:val="21"/>
        <w:spacing w:before="240" w:after="240" w:line="540" w:lineRule="atLeast"/>
        <w:ind w:firstLine="480"/>
        <w:jc w:val="both"/>
        <w:rPr>
          <w:rFonts w:hint="eastAsia"/>
          <w:lang w:val="en-US" w:eastAsia="zh-CN"/>
        </w:rPr>
      </w:pPr>
      <w:r>
        <w:rPr>
          <w:rFonts w:hint="default"/>
          <w:lang w:val="en-US" w:eastAsia="zh-CN"/>
        </w:rPr>
        <w:t>生态环境部党组成员、副部长郭芳，国家税务总局副局长赵静代表两部门签署备忘录。两部门有关单位负责同志参加仪式。</w:t>
      </w:r>
    </w:p>
    <w:p w14:paraId="7D82D223">
      <w:pPr>
        <w:shd w:val="clear" w:color="auto" w:fill="FFFFFF"/>
        <w:spacing w:line="520" w:lineRule="exact"/>
        <w:ind w:firstLine="480" w:firstLineChars="200"/>
        <w:jc w:val="right"/>
        <w:rPr>
          <w:rFonts w:hint="eastAsia"/>
          <w:color w:val="A6A6A6" w:themeColor="background1" w:themeShade="A6"/>
        </w:rPr>
      </w:pPr>
      <w:r>
        <w:rPr>
          <w:rFonts w:hint="eastAsia"/>
          <w:color w:val="A6A6A6" w:themeColor="background1" w:themeShade="A6"/>
        </w:rPr>
        <w:t>（来源：国家税务总局网站）</w:t>
      </w:r>
    </w:p>
    <w:p w14:paraId="4C675F6E">
      <w:pPr>
        <w:shd w:val="clear" w:color="auto" w:fill="FFFFFF"/>
        <w:spacing w:line="520" w:lineRule="exact"/>
        <w:ind w:firstLine="480" w:firstLineChars="200"/>
        <w:jc w:val="right"/>
        <w:rPr>
          <w:rFonts w:hint="eastAsia"/>
          <w:color w:val="A6A6A6" w:themeColor="background1" w:themeShade="A6"/>
        </w:rPr>
      </w:pPr>
    </w:p>
    <w:p w14:paraId="21134E34">
      <w:pPr>
        <w:shd w:val="clear" w:color="auto" w:fill="FFFFFF"/>
        <w:spacing w:line="520" w:lineRule="exact"/>
        <w:ind w:firstLine="480" w:firstLineChars="200"/>
        <w:jc w:val="right"/>
        <w:rPr>
          <w:rFonts w:hint="eastAsia"/>
          <w:color w:val="A6A6A6" w:themeColor="background1" w:themeShade="A6"/>
        </w:rPr>
      </w:pPr>
    </w:p>
    <w:p w14:paraId="693E6503">
      <w:pPr>
        <w:shd w:val="clear" w:color="auto" w:fill="FFFFFF"/>
        <w:spacing w:line="520" w:lineRule="exact"/>
        <w:ind w:firstLine="480" w:firstLineChars="200"/>
        <w:jc w:val="right"/>
        <w:rPr>
          <w:rFonts w:hint="eastAsia"/>
          <w:color w:val="A6A6A6" w:themeColor="background1" w:themeShade="A6"/>
        </w:rPr>
      </w:pPr>
    </w:p>
    <w:p w14:paraId="7A330EBC">
      <w:pPr>
        <w:shd w:val="clear" w:color="auto" w:fill="FFFFFF"/>
        <w:spacing w:line="520" w:lineRule="exact"/>
        <w:ind w:firstLine="480" w:firstLineChars="200"/>
        <w:jc w:val="right"/>
        <w:rPr>
          <w:rFonts w:hint="eastAsia"/>
          <w:color w:val="A6A6A6" w:themeColor="background1" w:themeShade="A6"/>
        </w:rPr>
      </w:pPr>
    </w:p>
    <w:p w14:paraId="0F1D7558">
      <w:pPr>
        <w:shd w:val="clear" w:color="auto" w:fill="FFFFFF"/>
        <w:spacing w:line="520" w:lineRule="exact"/>
        <w:ind w:firstLine="480" w:firstLineChars="200"/>
        <w:jc w:val="right"/>
        <w:rPr>
          <w:rFonts w:hint="eastAsia"/>
          <w:color w:val="A6A6A6" w:themeColor="background1" w:themeShade="A6"/>
        </w:rPr>
      </w:pPr>
    </w:p>
    <w:p w14:paraId="5BFD3178">
      <w:pPr>
        <w:shd w:val="clear" w:color="auto" w:fill="FFFFFF"/>
        <w:spacing w:line="520" w:lineRule="exact"/>
        <w:ind w:firstLine="480" w:firstLineChars="200"/>
        <w:jc w:val="right"/>
        <w:rPr>
          <w:rFonts w:hint="eastAsia"/>
          <w:color w:val="A6A6A6" w:themeColor="background1" w:themeShade="A6"/>
        </w:rPr>
      </w:pPr>
    </w:p>
    <w:p w14:paraId="54C4622F">
      <w:pPr>
        <w:shd w:val="clear" w:color="auto" w:fill="FFFFFF"/>
        <w:spacing w:line="520" w:lineRule="exact"/>
        <w:ind w:firstLine="480" w:firstLineChars="200"/>
        <w:jc w:val="right"/>
        <w:rPr>
          <w:rFonts w:hint="eastAsia"/>
          <w:color w:val="A6A6A6" w:themeColor="background1" w:themeShade="A6"/>
        </w:rPr>
      </w:pPr>
    </w:p>
    <w:p w14:paraId="28D16FFA">
      <w:pPr>
        <w:shd w:val="clear" w:color="auto" w:fill="FFFFFF"/>
        <w:spacing w:line="520" w:lineRule="exact"/>
        <w:ind w:firstLine="480" w:firstLineChars="200"/>
        <w:jc w:val="right"/>
        <w:rPr>
          <w:rFonts w:hint="eastAsia"/>
          <w:color w:val="A6A6A6" w:themeColor="background1" w:themeShade="A6"/>
        </w:rPr>
      </w:pPr>
    </w:p>
    <w:p w14:paraId="78364BA8">
      <w:pPr>
        <w:shd w:val="clear" w:color="auto" w:fill="FFFFFF"/>
        <w:spacing w:line="520" w:lineRule="exact"/>
        <w:ind w:firstLine="480" w:firstLineChars="200"/>
        <w:jc w:val="right"/>
        <w:rPr>
          <w:rFonts w:hint="eastAsia"/>
          <w:color w:val="A6A6A6" w:themeColor="background1" w:themeShade="A6"/>
        </w:rPr>
      </w:pPr>
    </w:p>
    <w:p w14:paraId="65715449">
      <w:pPr>
        <w:shd w:val="clear" w:color="auto" w:fill="FFFFFF"/>
        <w:spacing w:line="520" w:lineRule="exact"/>
        <w:ind w:firstLine="480" w:firstLineChars="200"/>
        <w:jc w:val="right"/>
        <w:rPr>
          <w:rFonts w:hint="eastAsia"/>
          <w:color w:val="A6A6A6" w:themeColor="background1" w:themeShade="A6"/>
        </w:rPr>
      </w:pPr>
    </w:p>
    <w:p w14:paraId="69FC4459">
      <w:pPr>
        <w:shd w:val="clear" w:color="auto" w:fill="FFFFFF"/>
        <w:spacing w:line="520" w:lineRule="exact"/>
        <w:ind w:firstLine="480" w:firstLineChars="200"/>
        <w:jc w:val="right"/>
        <w:rPr>
          <w:rFonts w:hint="eastAsia"/>
          <w:color w:val="A6A6A6" w:themeColor="background1" w:themeShade="A6"/>
        </w:rPr>
      </w:pPr>
    </w:p>
    <w:p w14:paraId="15303143">
      <w:pPr>
        <w:shd w:val="clear" w:color="auto" w:fill="FFFFFF"/>
        <w:spacing w:line="520" w:lineRule="exact"/>
        <w:ind w:firstLine="480" w:firstLineChars="200"/>
        <w:jc w:val="right"/>
        <w:rPr>
          <w:rFonts w:hint="eastAsia"/>
          <w:color w:val="A6A6A6" w:themeColor="background1" w:themeShade="A6"/>
        </w:rPr>
      </w:pPr>
    </w:p>
    <w:p w14:paraId="323C7DA3">
      <w:pPr>
        <w:shd w:val="clear" w:color="auto" w:fill="FFFFFF"/>
        <w:spacing w:line="520" w:lineRule="exact"/>
        <w:ind w:firstLine="480" w:firstLineChars="200"/>
        <w:jc w:val="right"/>
        <w:rPr>
          <w:rFonts w:hint="eastAsia"/>
          <w:color w:val="A6A6A6" w:themeColor="background1" w:themeShade="A6"/>
        </w:rPr>
      </w:pPr>
    </w:p>
    <w:p w14:paraId="7054291A">
      <w:pPr>
        <w:shd w:val="clear" w:color="auto" w:fill="FFFFFF"/>
        <w:spacing w:line="520" w:lineRule="exact"/>
        <w:ind w:firstLine="480" w:firstLineChars="200"/>
        <w:jc w:val="right"/>
        <w:rPr>
          <w:rFonts w:hint="eastAsia"/>
          <w:color w:val="A6A6A6" w:themeColor="background1" w:themeShade="A6"/>
        </w:rPr>
      </w:pPr>
    </w:p>
    <w:p w14:paraId="2A50229F">
      <w:pPr>
        <w:shd w:val="clear" w:color="auto" w:fill="FFFFFF"/>
        <w:spacing w:line="520" w:lineRule="exact"/>
        <w:ind w:firstLine="480" w:firstLineChars="200"/>
        <w:jc w:val="right"/>
        <w:rPr>
          <w:rFonts w:hint="eastAsia"/>
          <w:color w:val="A6A6A6" w:themeColor="background1" w:themeShade="A6"/>
        </w:rPr>
      </w:pPr>
    </w:p>
    <w:p w14:paraId="7A8F4061">
      <w:pPr>
        <w:shd w:val="clear" w:color="auto" w:fill="FFFFFF"/>
        <w:spacing w:line="520" w:lineRule="exact"/>
        <w:ind w:firstLine="480" w:firstLineChars="200"/>
        <w:jc w:val="right"/>
        <w:rPr>
          <w:rFonts w:hint="eastAsia"/>
          <w:color w:val="A6A6A6" w:themeColor="background1" w:themeShade="A6"/>
        </w:rPr>
      </w:pPr>
    </w:p>
    <w:p w14:paraId="73EBFA82">
      <w:pPr>
        <w:shd w:val="clear" w:color="auto" w:fill="FFFFFF"/>
        <w:spacing w:line="520" w:lineRule="exact"/>
        <w:ind w:firstLine="480" w:firstLineChars="200"/>
        <w:jc w:val="right"/>
        <w:rPr>
          <w:rFonts w:hint="eastAsia"/>
          <w:color w:val="A6A6A6" w:themeColor="background1" w:themeShade="A6"/>
        </w:rPr>
      </w:pPr>
    </w:p>
    <w:p w14:paraId="7E7AD753">
      <w:pPr>
        <w:shd w:val="clear" w:color="auto" w:fill="FFFFFF"/>
        <w:spacing w:line="520" w:lineRule="exact"/>
        <w:ind w:firstLine="480" w:firstLineChars="200"/>
        <w:jc w:val="right"/>
        <w:rPr>
          <w:rFonts w:hint="eastAsia"/>
          <w:color w:val="A6A6A6" w:themeColor="background1" w:themeShade="A6"/>
        </w:rPr>
      </w:pPr>
    </w:p>
    <w:p w14:paraId="77530901">
      <w:pPr>
        <w:shd w:val="clear" w:color="auto" w:fill="FFFFFF"/>
        <w:spacing w:line="520" w:lineRule="exact"/>
        <w:ind w:firstLine="480" w:firstLineChars="200"/>
        <w:jc w:val="right"/>
        <w:rPr>
          <w:rFonts w:hint="eastAsia"/>
          <w:color w:val="A6A6A6" w:themeColor="background1" w:themeShade="A6"/>
        </w:rPr>
      </w:pPr>
    </w:p>
    <w:p w14:paraId="51107065">
      <w:pPr>
        <w:shd w:val="clear" w:color="auto" w:fill="FFFFFF"/>
        <w:spacing w:line="520" w:lineRule="exact"/>
        <w:ind w:firstLine="480" w:firstLineChars="200"/>
        <w:jc w:val="right"/>
        <w:rPr>
          <w:rFonts w:hint="eastAsia"/>
          <w:color w:val="A6A6A6" w:themeColor="background1" w:themeShade="A6"/>
        </w:rPr>
      </w:pPr>
    </w:p>
    <w:p w14:paraId="33A1D03A">
      <w:pPr>
        <w:shd w:val="clear" w:color="auto" w:fill="FFFFFF"/>
        <w:spacing w:line="520" w:lineRule="exact"/>
        <w:ind w:firstLine="480" w:firstLineChars="200"/>
        <w:jc w:val="right"/>
        <w:rPr>
          <w:rFonts w:hint="eastAsia"/>
          <w:color w:val="A6A6A6" w:themeColor="background1" w:themeShade="A6"/>
        </w:rPr>
      </w:pPr>
    </w:p>
    <w:p w14:paraId="24E69864">
      <w:pPr>
        <w:shd w:val="clear" w:color="auto" w:fill="FFFFFF"/>
        <w:spacing w:line="520" w:lineRule="exact"/>
        <w:ind w:firstLine="480" w:firstLineChars="200"/>
        <w:jc w:val="right"/>
        <w:rPr>
          <w:rFonts w:hint="eastAsia"/>
          <w:color w:val="A6A6A6" w:themeColor="background1" w:themeShade="A6"/>
        </w:rPr>
      </w:pPr>
    </w:p>
    <w:p w14:paraId="3E166C33">
      <w:pPr>
        <w:pStyle w:val="2"/>
        <w:jc w:val="center"/>
        <w:rPr>
          <w:rFonts w:hint="eastAsia" w:ascii="宋体" w:hAnsi="宋体" w:eastAsia="宋体" w:cs="微软雅黑"/>
          <w:color w:val="0070C0"/>
          <w:sz w:val="28"/>
          <w:szCs w:val="28"/>
          <w:lang w:val="en-US" w:eastAsia="zh-CN"/>
        </w:rPr>
      </w:pPr>
      <w:bookmarkStart w:id="34" w:name="_Toc8579"/>
      <w:bookmarkStart w:id="35" w:name="_Toc140334223"/>
      <w:r>
        <w:rPr>
          <w:rFonts w:hint="eastAsia" w:ascii="宋体" w:hAnsi="宋体" w:eastAsia="宋体" w:cs="微软雅黑"/>
          <w:color w:val="0070C0"/>
          <w:sz w:val="28"/>
          <w:szCs w:val="28"/>
          <w:lang w:val="en-US" w:eastAsia="zh-CN"/>
        </w:rPr>
        <w:t>税务总局高质量完成全国两会建议提案办理工作</w:t>
      </w:r>
      <w:bookmarkEnd w:id="34"/>
    </w:p>
    <w:p w14:paraId="382CE9FB">
      <w:pPr>
        <w:pStyle w:val="2"/>
        <w:jc w:val="center"/>
        <w:rPr>
          <w:rFonts w:hint="eastAsia" w:ascii="宋体" w:hAnsi="宋体" w:eastAsia="宋体" w:cs="微软雅黑"/>
          <w:color w:val="0070C0"/>
          <w:sz w:val="24"/>
          <w:szCs w:val="24"/>
          <w:lang w:val="en-US" w:eastAsia="zh-CN"/>
        </w:rPr>
      </w:pPr>
      <w:bookmarkStart w:id="36" w:name="_Toc11775"/>
      <w:r>
        <w:rPr>
          <w:rFonts w:hint="eastAsia" w:ascii="宋体" w:hAnsi="宋体" w:eastAsia="宋体" w:cs="微软雅黑"/>
          <w:color w:val="0070C0"/>
          <w:sz w:val="24"/>
          <w:szCs w:val="24"/>
          <w:lang w:val="en-US" w:eastAsia="zh-CN"/>
        </w:rPr>
        <w:t>2025年接收的两会建议提案已100％办结</w:t>
      </w:r>
      <w:bookmarkEnd w:id="36"/>
    </w:p>
    <w:p w14:paraId="635322BD">
      <w:pPr>
        <w:pStyle w:val="21"/>
        <w:spacing w:before="240" w:after="240" w:line="540" w:lineRule="atLeast"/>
        <w:ind w:firstLine="480"/>
        <w:jc w:val="both"/>
        <w:rPr>
          <w:rFonts w:hint="default"/>
          <w:lang w:val="en-US" w:eastAsia="zh-CN"/>
        </w:rPr>
      </w:pPr>
      <w:r>
        <w:rPr>
          <w:rFonts w:hint="default"/>
          <w:lang w:val="en-US" w:eastAsia="zh-CN"/>
        </w:rPr>
        <w:t>高质量办理全国两会建议提案，是践行全过程人民民主、确保民意落地见效的重要环节。2025年全国两会闭幕以来，国家税务总局按照相关要求，认真完成各项建议提案办理任务。截至目前，建议提案沟通协商率、按时办结率均达到100％。</w:t>
      </w:r>
    </w:p>
    <w:p w14:paraId="35037FAA">
      <w:pPr>
        <w:pStyle w:val="21"/>
        <w:spacing w:before="240" w:after="240" w:line="540" w:lineRule="atLeast"/>
        <w:ind w:firstLine="480"/>
        <w:jc w:val="both"/>
        <w:rPr>
          <w:rFonts w:hint="default"/>
          <w:lang w:val="en-US" w:eastAsia="zh-CN"/>
        </w:rPr>
      </w:pPr>
      <w:r>
        <w:rPr>
          <w:rFonts w:hint="default"/>
          <w:lang w:val="en-US" w:eastAsia="zh-CN"/>
        </w:rPr>
        <w:t>“2025年税务总局共接收建议提案523件。从内容上看，主要集中在发挥税收职能作用、办好改善民生实事、优化税收征管服务等方面，反映出代表委员对税收服务国家发展战略、保障和改善民生、优化营商环境等领域较为关注。”税务总局有关负责人表示。</w:t>
      </w:r>
    </w:p>
    <w:p w14:paraId="2CA63CFA">
      <w:pPr>
        <w:pStyle w:val="21"/>
        <w:spacing w:before="240" w:after="240" w:line="540" w:lineRule="atLeast"/>
        <w:ind w:firstLine="480"/>
        <w:jc w:val="both"/>
        <w:rPr>
          <w:rFonts w:hint="default"/>
          <w:lang w:val="en-US" w:eastAsia="zh-CN"/>
        </w:rPr>
      </w:pPr>
      <w:r>
        <w:rPr>
          <w:rFonts w:hint="default"/>
          <w:lang w:val="en-US" w:eastAsia="zh-CN"/>
        </w:rPr>
        <w:t>据介绍，为确保高质高效办好每一件建议提案，税务总局强化组织领导、狠抓责任落实、创新办理举措，将建议提案划分为政策法规类、纳税服务类、税收征管类等8大类别，并建立建议提案办理台账，实施清单化管理，确保承接一件、办好一件、销号一件。在深入分析研究的基础上，税务部门还确定15件代表性强、社会关注度高、有重要参考价值的建议提案作为重点建议提案，集中精干力量，重点研究办理，切实做到办好一件建议提案、解决一方面问题、促进一个领域发展。</w:t>
      </w:r>
    </w:p>
    <w:p w14:paraId="2BE16D95">
      <w:pPr>
        <w:pStyle w:val="21"/>
        <w:spacing w:before="240" w:after="240" w:line="540" w:lineRule="atLeast"/>
        <w:ind w:firstLine="480"/>
        <w:jc w:val="both"/>
        <w:rPr>
          <w:rFonts w:hint="default"/>
          <w:lang w:val="en-US" w:eastAsia="zh-CN"/>
        </w:rPr>
      </w:pPr>
      <w:r>
        <w:rPr>
          <w:rFonts w:hint="default"/>
          <w:lang w:val="en-US" w:eastAsia="zh-CN"/>
        </w:rPr>
        <w:t>在办理建议提案的同时，税务部门持续更新完善代表委员“一人式”涉税信息库，通过归集代表委员涉税意见建议以及税务部门以往沟通、调研、答复等办理情况，实现总局、省局建议提案办理信息共享。同时将两会前走访、两会期间上级和相关部门转办交办、各类媒体反映等渠道收集到的60件代表委员涉税建议，与全国人大、全国政协分办的代表建议一并建立台账、一体统筹办理，不断拓展办理工作广度。</w:t>
      </w:r>
    </w:p>
    <w:p w14:paraId="3839420F">
      <w:pPr>
        <w:pStyle w:val="21"/>
        <w:spacing w:before="240" w:after="240" w:line="540" w:lineRule="atLeast"/>
        <w:ind w:firstLine="480"/>
        <w:jc w:val="both"/>
        <w:rPr>
          <w:rFonts w:hint="default"/>
          <w:lang w:val="en-US" w:eastAsia="zh-CN"/>
        </w:rPr>
      </w:pPr>
      <w:r>
        <w:rPr>
          <w:rFonts w:hint="default"/>
          <w:lang w:val="en-US" w:eastAsia="zh-CN"/>
        </w:rPr>
        <w:t>在办理建议提案过程中，税务总局充分吸纳借鉴建议提案中的真知灼见，不断改进提升各项税务工作，取得积极实效。</w:t>
      </w:r>
    </w:p>
    <w:p w14:paraId="3B63BA0C">
      <w:pPr>
        <w:pStyle w:val="21"/>
        <w:spacing w:before="240" w:after="240" w:line="540" w:lineRule="atLeast"/>
        <w:ind w:firstLine="480"/>
        <w:jc w:val="both"/>
        <w:rPr>
          <w:rFonts w:hint="default"/>
          <w:lang w:val="en-US" w:eastAsia="zh-CN"/>
        </w:rPr>
      </w:pPr>
      <w:r>
        <w:rPr>
          <w:rFonts w:hint="default"/>
          <w:b/>
          <w:bCs/>
          <w:lang w:val="en-US" w:eastAsia="zh-CN"/>
        </w:rPr>
        <w:t>——助力税收服务高质量发展进一步提质。</w:t>
      </w:r>
      <w:r>
        <w:rPr>
          <w:rFonts w:hint="default"/>
          <w:lang w:val="en-US" w:eastAsia="zh-CN"/>
        </w:rPr>
        <w:t>比如针对代表委员提出的关于支持科技创新等方面建议，税务部门会同有关部门制发文件推进增值税加计抵减政策和集成电路企业、软件企业税收优惠政策的精准落实，助力加快实现高水平科技自立自强。又如，在促进民生改善方面，针对代表委员提出的优化个人所得税方面的建议，税务部门不断完善个人所得税专项附加扣除政策，既在增加扣除项目上“扩围”，又在提高扣除标准上“加力”，以税收优惠的“温度”传递国家改善民生的“力度”，2025年办理的个人所得税综合所得汇算清缴数据显示，全国有超过1.1亿人享受专项附加扣除，减税金额近3000亿元。</w:t>
      </w:r>
    </w:p>
    <w:p w14:paraId="527D7975">
      <w:pPr>
        <w:pStyle w:val="21"/>
        <w:spacing w:before="240" w:after="240" w:line="540" w:lineRule="atLeast"/>
        <w:ind w:firstLine="480"/>
        <w:jc w:val="both"/>
        <w:rPr>
          <w:rFonts w:hint="default"/>
          <w:lang w:val="en-US" w:eastAsia="zh-CN"/>
        </w:rPr>
      </w:pPr>
      <w:r>
        <w:rPr>
          <w:rFonts w:hint="default"/>
          <w:b/>
          <w:bCs/>
          <w:lang w:val="en-US" w:eastAsia="zh-CN"/>
        </w:rPr>
        <w:t>——助力税收营商环境进一步优化。</w:t>
      </w:r>
      <w:r>
        <w:rPr>
          <w:rFonts w:hint="default"/>
          <w:lang w:val="en-US" w:eastAsia="zh-CN"/>
        </w:rPr>
        <w:t>比如针对代表委员提出的关于优化营商环境、提升办税缴费服务水平等方面建议，税务部门连续第12年开展“便民办税春风行动”，联合全国工商联连续第5年开展助力小微经营主体发展“春雨润苗”专项行动，推出系列惠民利企服务举措，切实提升了纳税人缴费人获得感和满意度。又如，针对代表委员提出的服务企业“走出去”的建议，持续优化“税路通”跨境税收服务品牌，不断丰富完善跨境税收知识产品体系，累计发布110份国别（地区）投资税收指南，持续更新发布“走出去”税收指引，帮助“出海”企业“一站式”了解海外税法环境、提高合规能力，助力我国企业“走出去”的底气越来越足。全国人大代表、智慧宫国际文化集团有限公司董事长张时荣表示，“税务部门开通了‘一带一路’税收服务专窗，通过‘政策包＋专家团’模式，帮助企业化解跨境投资中的重复征税风险，使我们‘文化出海’之路越走越顺畅”。</w:t>
      </w:r>
    </w:p>
    <w:p w14:paraId="21AE6CF3">
      <w:pPr>
        <w:pStyle w:val="21"/>
        <w:spacing w:before="240" w:after="240" w:line="540" w:lineRule="atLeast"/>
        <w:ind w:firstLine="480"/>
        <w:jc w:val="both"/>
        <w:rPr>
          <w:rFonts w:hint="default"/>
          <w:lang w:val="en-US" w:eastAsia="zh-CN"/>
        </w:rPr>
      </w:pPr>
      <w:r>
        <w:rPr>
          <w:rFonts w:hint="default"/>
          <w:b/>
          <w:bCs/>
          <w:lang w:val="en-US" w:eastAsia="zh-CN"/>
        </w:rPr>
        <w:t>——助力税收法治公平进一步彰显。</w:t>
      </w:r>
      <w:r>
        <w:rPr>
          <w:rFonts w:hint="default"/>
          <w:lang w:val="en-US" w:eastAsia="zh-CN"/>
        </w:rPr>
        <w:t>比如针对多名代表委员提出的修订税收征管法建议，税务部门积极推动相关工作取得实质性进展，目前，已完成向社会公开征求意见并进入立法审查程序。针对代表委员关于规范新经济新业态税收监管的建议，积极推动《互联网平台企业涉税信息报送规定》以行政法规形式颁布实施，有效推进平台经济健康发展和全国统一大市场建设。又如，针对代表委员提出的规范税务执法行为的建议，依托智慧税务建设，持续健全动态“信用＋风险”的监管体系，着力推进精确执法、精准监管，构建完善“无风险不打扰、有违法要追究、全过程强智控”的税务执法新体系，努力实现对经营主体干扰最小化、监管效能最大化。</w:t>
      </w:r>
    </w:p>
    <w:p w14:paraId="057F55AD">
      <w:pPr>
        <w:pStyle w:val="21"/>
        <w:spacing w:before="240" w:after="240" w:line="540" w:lineRule="atLeast"/>
        <w:ind w:firstLine="480"/>
        <w:jc w:val="both"/>
        <w:rPr>
          <w:rFonts w:hint="default"/>
          <w:lang w:val="en-US" w:eastAsia="zh-CN"/>
        </w:rPr>
      </w:pPr>
      <w:r>
        <w:rPr>
          <w:rFonts w:hint="default"/>
          <w:lang w:val="en-US" w:eastAsia="zh-CN"/>
        </w:rPr>
        <w:t>2026年全国两会召开在即，税务总局有关负责人表示，将坚持以习近平新时代中国特色社会主义思想为指导，全面贯彻落实党的二十大和二十届历次全会精神，充分吸收和借鉴代表委员的意见建议，更好应民所需、顺民所盼、达民所愿，以高质量做好建议提案办理工作，助力高质量推进中国式现代化税务实践。</w:t>
      </w:r>
    </w:p>
    <w:p w14:paraId="3E64E8C8">
      <w:pPr>
        <w:shd w:val="clear" w:color="auto" w:fill="FFFFFF"/>
        <w:spacing w:line="520" w:lineRule="exact"/>
        <w:ind w:firstLine="480" w:firstLineChars="200"/>
        <w:jc w:val="right"/>
        <w:rPr>
          <w:color w:val="BFBFBF" w:themeColor="background1" w:themeShade="BF"/>
        </w:rPr>
      </w:pPr>
      <w:r>
        <w:rPr>
          <w:rFonts w:hint="eastAsia"/>
          <w:color w:val="BFBFBF" w:themeColor="background1" w:themeShade="BF"/>
        </w:rPr>
        <w:t>（来源：国家税务总局网站）</w:t>
      </w:r>
    </w:p>
    <w:bookmarkEnd w:id="35"/>
    <w:p w14:paraId="6448E3DD">
      <w:pPr>
        <w:shd w:val="clear" w:color="auto" w:fill="FFFFFF"/>
        <w:spacing w:line="520" w:lineRule="exact"/>
        <w:ind w:firstLine="562" w:firstLineChars="200"/>
        <w:jc w:val="right"/>
        <w:rPr>
          <w:rFonts w:cs="微软雅黑"/>
          <w:b/>
          <w:bCs/>
          <w:color w:val="0070C0"/>
          <w:kern w:val="44"/>
          <w:sz w:val="28"/>
          <w:szCs w:val="28"/>
        </w:rPr>
      </w:pPr>
    </w:p>
    <w:p w14:paraId="7CB566E7">
      <w:pPr>
        <w:rPr>
          <w:rFonts w:cstheme="minorBidi"/>
          <w:b/>
          <w:bCs/>
          <w:color w:val="0070C0"/>
          <w:kern w:val="44"/>
          <w:sz w:val="28"/>
          <w:szCs w:val="28"/>
        </w:rPr>
      </w:pPr>
      <w:r>
        <w:rPr>
          <w:color w:val="0070C0"/>
          <w:sz w:val="28"/>
          <w:szCs w:val="28"/>
        </w:rPr>
        <w:br w:type="page"/>
      </w:r>
    </w:p>
    <w:p w14:paraId="45B91906">
      <w:pPr>
        <w:pStyle w:val="2"/>
        <w:jc w:val="center"/>
        <w:rPr>
          <w:rFonts w:hint="eastAsia" w:ascii="宋体" w:hAnsi="宋体" w:eastAsia="宋体" w:cs="微软雅黑"/>
          <w:color w:val="0070C0"/>
          <w:sz w:val="28"/>
          <w:szCs w:val="28"/>
          <w:lang w:val="en-US" w:eastAsia="zh-CN"/>
        </w:rPr>
      </w:pPr>
      <w:bookmarkStart w:id="37" w:name="_Toc10610"/>
      <w:r>
        <w:rPr>
          <w:rFonts w:hint="default" w:ascii="宋体" w:hAnsi="宋体" w:eastAsia="宋体" w:cs="微软雅黑"/>
          <w:color w:val="0070C0"/>
          <w:sz w:val="28"/>
          <w:szCs w:val="28"/>
          <w:lang w:val="en-US" w:eastAsia="zh-CN"/>
        </w:rPr>
        <w:t>税收数据显示：前两个月我国科技创新保持良好发展势头</w:t>
      </w:r>
      <w:bookmarkEnd w:id="37"/>
    </w:p>
    <w:p w14:paraId="3DCF5E1C">
      <w:pPr>
        <w:pStyle w:val="21"/>
        <w:spacing w:before="240" w:after="240" w:line="540" w:lineRule="atLeast"/>
        <w:ind w:firstLine="480"/>
        <w:jc w:val="both"/>
        <w:rPr>
          <w:rFonts w:hint="default"/>
          <w:lang w:val="en-US" w:eastAsia="zh-CN"/>
        </w:rPr>
      </w:pPr>
      <w:r>
        <w:rPr>
          <w:rFonts w:hint="default"/>
          <w:lang w:val="en-US" w:eastAsia="zh-CN"/>
        </w:rPr>
        <w:t>“十五五”规划纲要草案将“科技自立自强水平大幅提高”作为经济社会发展的主要目标之一。国家税务总局税收数据显示，今年1—2月份，我国科技创新发展势头良好，呈现多方面亮点。</w:t>
      </w:r>
    </w:p>
    <w:p w14:paraId="41808C09">
      <w:pPr>
        <w:pStyle w:val="21"/>
        <w:spacing w:before="240" w:after="240" w:line="540" w:lineRule="atLeast"/>
        <w:ind w:firstLine="480"/>
        <w:jc w:val="both"/>
        <w:rPr>
          <w:rFonts w:hint="default"/>
          <w:lang w:val="en-US" w:eastAsia="zh-CN"/>
        </w:rPr>
      </w:pPr>
      <w:r>
        <w:rPr>
          <w:rFonts w:hint="default"/>
          <w:b/>
          <w:bCs/>
          <w:lang w:val="en-US" w:eastAsia="zh-CN"/>
        </w:rPr>
        <w:t>——创新产业快速发展。</w:t>
      </w:r>
      <w:r>
        <w:rPr>
          <w:rFonts w:hint="default"/>
          <w:lang w:val="en-US" w:eastAsia="zh-CN"/>
        </w:rPr>
        <w:t>发票数据显示，1—2月份，我国高技术产业销售收入同比增长16.1%，延续较快增长态势。其中，高技术服务业销售收入同比增长17.2%，特别是科技中介服务、自然科研和试验发展同比分别增长25.6%和17.4%；高技术制造业销售收入同比增长14.5%，在低空经济、商业航天、消费电子等拉动下，航空航天器设备制造业、电子及通信设备制造业同比分别增长28.5%和18.4%。</w:t>
      </w:r>
    </w:p>
    <w:p w14:paraId="4ECA81C3">
      <w:pPr>
        <w:pStyle w:val="21"/>
        <w:spacing w:before="240" w:after="240" w:line="540" w:lineRule="atLeast"/>
        <w:ind w:firstLine="480"/>
        <w:jc w:val="both"/>
        <w:rPr>
          <w:rFonts w:hint="default"/>
          <w:lang w:val="en-US" w:eastAsia="zh-CN"/>
        </w:rPr>
      </w:pPr>
      <w:r>
        <w:rPr>
          <w:rFonts w:hint="default"/>
          <w:b/>
          <w:bCs/>
          <w:lang w:val="en-US" w:eastAsia="zh-CN"/>
        </w:rPr>
        <w:t>——科技资源要素流动活跃。</w:t>
      </w:r>
      <w:r>
        <w:rPr>
          <w:rFonts w:hint="default"/>
          <w:lang w:val="en-US" w:eastAsia="zh-CN"/>
        </w:rPr>
        <w:t>发票数据显示，1—2月份，作为科技要素整合和价值转化重要阵地的我国科研技术服务业销售收入同比增长23.6%，延续快速增长势头。科技含量较高的知识产权（专利）密集型产业销售收入同比增长12.8%。</w:t>
      </w:r>
    </w:p>
    <w:p w14:paraId="74A61EEB">
      <w:pPr>
        <w:pStyle w:val="21"/>
        <w:spacing w:before="240" w:after="240" w:line="540" w:lineRule="atLeast"/>
        <w:ind w:firstLine="480"/>
        <w:jc w:val="both"/>
        <w:rPr>
          <w:rFonts w:hint="default"/>
          <w:lang w:val="en-US" w:eastAsia="zh-CN"/>
        </w:rPr>
      </w:pPr>
      <w:r>
        <w:rPr>
          <w:rFonts w:hint="default"/>
          <w:b/>
          <w:bCs/>
          <w:lang w:val="en-US" w:eastAsia="zh-CN"/>
        </w:rPr>
        <w:t>——数实融合快速推进。</w:t>
      </w:r>
      <w:r>
        <w:rPr>
          <w:rFonts w:hint="default"/>
          <w:lang w:val="en-US" w:eastAsia="zh-CN"/>
        </w:rPr>
        <w:t>发票数据显示，1—2月份，企业采购数字技术金额同比增长10.8%，反映产业数字化提档升级，其中制造业企业采购数字技术金额同比增长16%。数字经济核心产业销售收入同比增长10.8%，反映数字产业化快速发展，其中数字产品制造业、数字技术应用业同比分别增长13.3%和11.9%。</w:t>
      </w:r>
    </w:p>
    <w:p w14:paraId="20EC776A">
      <w:pPr>
        <w:pStyle w:val="21"/>
        <w:spacing w:before="240" w:after="240" w:line="540" w:lineRule="atLeast"/>
        <w:ind w:firstLine="480"/>
        <w:jc w:val="both"/>
        <w:rPr>
          <w:rFonts w:hint="default"/>
          <w:lang w:val="en-US" w:eastAsia="zh-CN"/>
        </w:rPr>
      </w:pPr>
      <w:r>
        <w:rPr>
          <w:rFonts w:hint="default"/>
          <w:lang w:val="en-US" w:eastAsia="zh-CN"/>
        </w:rPr>
        <w:t>中央财经大学副校长陈斌开表示，“十五五”开局之年，我国科技创新产业发展呈现出产业活力更足、要素流动更顺、数实融合更深的整体特征，显示出我国创新驱动发展的内生动力持续增强。这既夯实了我国科技自立自强的产业根基，也有效激活了新质生产力发展动能，进一步彰显了科技创新对高质量发展的重要支撑作用。</w:t>
      </w:r>
    </w:p>
    <w:p w14:paraId="4D139E4D">
      <w:pPr>
        <w:shd w:val="clear" w:color="auto" w:fill="FFFFFF"/>
        <w:spacing w:line="520" w:lineRule="exact"/>
        <w:ind w:firstLine="480" w:firstLineChars="200"/>
        <w:jc w:val="right"/>
        <w:rPr>
          <w:color w:val="BFBFBF" w:themeColor="background1" w:themeShade="BF"/>
        </w:rPr>
      </w:pPr>
      <w:r>
        <w:rPr>
          <w:rFonts w:hint="eastAsia"/>
          <w:color w:val="BFBFBF" w:themeColor="background1" w:themeShade="BF"/>
        </w:rPr>
        <w:t>（来源：国家税务总局网站）</w:t>
      </w:r>
    </w:p>
    <w:p w14:paraId="321E8FED">
      <w:pPr>
        <w:shd w:val="clear" w:color="auto" w:fill="FFFFFF"/>
        <w:spacing w:line="520" w:lineRule="exact"/>
        <w:ind w:right="480"/>
        <w:rPr>
          <w:color w:val="BFBFBF" w:themeColor="background1" w:themeShade="BF"/>
        </w:rPr>
      </w:pPr>
    </w:p>
    <w:p w14:paraId="60BA3357">
      <w:pPr>
        <w:shd w:val="clear" w:color="auto" w:fill="FFFFFF"/>
        <w:spacing w:line="520" w:lineRule="exact"/>
        <w:ind w:right="480"/>
        <w:rPr>
          <w:color w:val="BFBFBF" w:themeColor="background1" w:themeShade="BF"/>
        </w:rPr>
      </w:pPr>
    </w:p>
    <w:p w14:paraId="2B37B198">
      <w:pPr>
        <w:shd w:val="clear" w:color="auto" w:fill="FFFFFF"/>
        <w:spacing w:line="520" w:lineRule="exact"/>
        <w:ind w:right="480"/>
        <w:rPr>
          <w:color w:val="BFBFBF" w:themeColor="background1" w:themeShade="BF"/>
        </w:rPr>
      </w:pPr>
    </w:p>
    <w:p w14:paraId="399806A3">
      <w:pPr>
        <w:shd w:val="clear" w:color="auto" w:fill="FFFFFF"/>
        <w:spacing w:line="520" w:lineRule="exact"/>
        <w:ind w:right="480"/>
        <w:rPr>
          <w:color w:val="BFBFBF" w:themeColor="background1" w:themeShade="BF"/>
        </w:rPr>
      </w:pPr>
    </w:p>
    <w:p w14:paraId="0EA3D4A0">
      <w:pPr>
        <w:shd w:val="clear" w:color="auto" w:fill="FFFFFF"/>
        <w:spacing w:line="520" w:lineRule="exact"/>
        <w:ind w:right="480"/>
        <w:rPr>
          <w:color w:val="BFBFBF" w:themeColor="background1" w:themeShade="BF"/>
        </w:rPr>
      </w:pPr>
    </w:p>
    <w:p w14:paraId="239BED94">
      <w:pPr>
        <w:shd w:val="clear" w:color="auto" w:fill="FFFFFF"/>
        <w:spacing w:line="520" w:lineRule="exact"/>
        <w:ind w:right="480"/>
        <w:rPr>
          <w:color w:val="BFBFBF" w:themeColor="background1" w:themeShade="BF"/>
        </w:rPr>
      </w:pPr>
    </w:p>
    <w:p w14:paraId="1EF380DD">
      <w:pPr>
        <w:shd w:val="clear" w:color="auto" w:fill="FFFFFF"/>
        <w:spacing w:line="520" w:lineRule="exact"/>
        <w:ind w:right="480"/>
        <w:rPr>
          <w:color w:val="BFBFBF" w:themeColor="background1" w:themeShade="BF"/>
        </w:rPr>
      </w:pPr>
    </w:p>
    <w:p w14:paraId="1AB901B9">
      <w:pPr>
        <w:shd w:val="clear" w:color="auto" w:fill="FFFFFF"/>
        <w:spacing w:line="520" w:lineRule="exact"/>
        <w:ind w:right="480"/>
        <w:rPr>
          <w:color w:val="BFBFBF" w:themeColor="background1" w:themeShade="BF"/>
        </w:rPr>
      </w:pPr>
    </w:p>
    <w:p w14:paraId="51D59BC2">
      <w:pPr>
        <w:shd w:val="clear" w:color="auto" w:fill="FFFFFF"/>
        <w:spacing w:line="520" w:lineRule="exact"/>
        <w:ind w:right="480"/>
        <w:rPr>
          <w:color w:val="BFBFBF" w:themeColor="background1" w:themeShade="BF"/>
        </w:rPr>
      </w:pPr>
    </w:p>
    <w:p w14:paraId="424469F2">
      <w:pPr>
        <w:shd w:val="clear" w:color="auto" w:fill="FFFFFF"/>
        <w:spacing w:line="520" w:lineRule="exact"/>
        <w:ind w:right="480"/>
        <w:rPr>
          <w:color w:val="BFBFBF" w:themeColor="background1" w:themeShade="BF"/>
        </w:rPr>
      </w:pPr>
    </w:p>
    <w:p w14:paraId="7159C862">
      <w:pPr>
        <w:shd w:val="clear" w:color="auto" w:fill="FFFFFF"/>
        <w:spacing w:line="520" w:lineRule="exact"/>
        <w:ind w:right="480"/>
        <w:rPr>
          <w:color w:val="BFBFBF" w:themeColor="background1" w:themeShade="BF"/>
        </w:rPr>
      </w:pPr>
    </w:p>
    <w:p w14:paraId="3BE2C73C">
      <w:pPr>
        <w:shd w:val="clear" w:color="auto" w:fill="FFFFFF"/>
        <w:spacing w:line="520" w:lineRule="exact"/>
        <w:ind w:right="480"/>
        <w:rPr>
          <w:color w:val="BFBFBF" w:themeColor="background1" w:themeShade="BF"/>
        </w:rPr>
      </w:pPr>
    </w:p>
    <w:p w14:paraId="5381F27D">
      <w:pPr>
        <w:shd w:val="clear" w:color="auto" w:fill="FFFFFF"/>
        <w:spacing w:line="520" w:lineRule="exact"/>
        <w:ind w:right="480"/>
        <w:rPr>
          <w:color w:val="BFBFBF" w:themeColor="background1" w:themeShade="BF"/>
        </w:rPr>
      </w:pPr>
    </w:p>
    <w:p w14:paraId="6F319CE8">
      <w:pPr>
        <w:shd w:val="clear" w:color="auto" w:fill="FFFFFF"/>
        <w:spacing w:line="520" w:lineRule="exact"/>
        <w:ind w:right="480"/>
        <w:rPr>
          <w:color w:val="BFBFBF" w:themeColor="background1" w:themeShade="BF"/>
        </w:rPr>
      </w:pPr>
    </w:p>
    <w:p w14:paraId="439A4EA5">
      <w:pPr>
        <w:shd w:val="clear" w:color="auto" w:fill="FFFFFF"/>
        <w:spacing w:line="520" w:lineRule="exact"/>
        <w:ind w:right="480"/>
        <w:rPr>
          <w:color w:val="BFBFBF" w:themeColor="background1" w:themeShade="BF"/>
        </w:rPr>
      </w:pPr>
    </w:p>
    <w:p w14:paraId="4489A1FA">
      <w:pPr>
        <w:shd w:val="clear" w:color="auto" w:fill="FFFFFF"/>
        <w:spacing w:line="520" w:lineRule="exact"/>
        <w:ind w:right="480"/>
        <w:rPr>
          <w:color w:val="BFBFBF" w:themeColor="background1" w:themeShade="BF"/>
        </w:rPr>
      </w:pPr>
    </w:p>
    <w:p w14:paraId="0AA3BB7B">
      <w:pPr>
        <w:shd w:val="clear" w:color="auto" w:fill="FFFFFF"/>
        <w:spacing w:line="520" w:lineRule="exact"/>
        <w:ind w:right="480"/>
        <w:rPr>
          <w:color w:val="BFBFBF" w:themeColor="background1" w:themeShade="BF"/>
        </w:rPr>
      </w:pPr>
    </w:p>
    <w:p w14:paraId="2182150F">
      <w:pPr>
        <w:shd w:val="clear" w:color="auto" w:fill="FFFFFF"/>
        <w:spacing w:line="520" w:lineRule="exact"/>
        <w:ind w:right="480"/>
        <w:rPr>
          <w:color w:val="BFBFBF" w:themeColor="background1" w:themeShade="BF"/>
        </w:rPr>
      </w:pPr>
    </w:p>
    <w:p w14:paraId="3BB68F40">
      <w:pPr>
        <w:shd w:val="clear" w:color="auto" w:fill="FFFFFF"/>
        <w:spacing w:line="520" w:lineRule="exact"/>
        <w:ind w:right="480"/>
        <w:rPr>
          <w:color w:val="BFBFBF" w:themeColor="background1" w:themeShade="BF"/>
        </w:rPr>
      </w:pPr>
    </w:p>
    <w:p w14:paraId="08B4DD7D">
      <w:pPr>
        <w:shd w:val="clear" w:color="auto" w:fill="FFFFFF"/>
        <w:spacing w:line="520" w:lineRule="exact"/>
        <w:ind w:right="480"/>
        <w:rPr>
          <w:color w:val="BFBFBF" w:themeColor="background1" w:themeShade="BF"/>
        </w:rPr>
      </w:pPr>
    </w:p>
    <w:p w14:paraId="520889F9">
      <w:pPr>
        <w:shd w:val="clear" w:color="auto" w:fill="FFFFFF"/>
        <w:spacing w:line="520" w:lineRule="exact"/>
        <w:ind w:right="480"/>
        <w:rPr>
          <w:color w:val="BFBFBF" w:themeColor="background1" w:themeShade="BF"/>
        </w:rPr>
      </w:pPr>
    </w:p>
    <w:p w14:paraId="73075014">
      <w:pPr>
        <w:shd w:val="clear" w:color="auto" w:fill="FFFFFF"/>
        <w:spacing w:line="520" w:lineRule="exact"/>
        <w:ind w:right="480"/>
        <w:rPr>
          <w:color w:val="BFBFBF" w:themeColor="background1" w:themeShade="BF"/>
        </w:rPr>
      </w:pPr>
    </w:p>
    <w:p w14:paraId="4EBE781C">
      <w:pPr>
        <w:shd w:val="clear" w:color="auto" w:fill="FFFFFF"/>
        <w:spacing w:line="520" w:lineRule="exact"/>
        <w:ind w:right="480"/>
        <w:rPr>
          <w:color w:val="BFBFBF" w:themeColor="background1" w:themeShade="BF"/>
        </w:rPr>
      </w:pPr>
    </w:p>
    <w:p w14:paraId="4E1A569B">
      <w:pPr>
        <w:pStyle w:val="2"/>
        <w:jc w:val="center"/>
        <w:rPr>
          <w:rFonts w:hint="default" w:ascii="宋体" w:hAnsi="宋体" w:eastAsia="宋体" w:cs="微软雅黑"/>
          <w:color w:val="0070C0"/>
          <w:sz w:val="28"/>
          <w:szCs w:val="28"/>
          <w:lang w:val="en-US" w:eastAsia="zh-CN"/>
        </w:rPr>
      </w:pPr>
      <w:bookmarkStart w:id="38" w:name="_Toc3727"/>
      <w:r>
        <w:rPr>
          <w:rFonts w:hint="default" w:ascii="宋体" w:hAnsi="宋体" w:eastAsia="宋体" w:cs="微软雅黑"/>
          <w:color w:val="0070C0"/>
          <w:sz w:val="28"/>
          <w:szCs w:val="28"/>
          <w:lang w:val="en-US" w:eastAsia="zh-CN"/>
        </w:rPr>
        <w:t>税收数据显示：2025年全国统一大市场建设纵深推进</w:t>
      </w:r>
      <w:bookmarkEnd w:id="38"/>
    </w:p>
    <w:p w14:paraId="1E365962">
      <w:pPr>
        <w:pStyle w:val="21"/>
        <w:spacing w:before="240" w:after="240" w:line="540" w:lineRule="atLeast"/>
        <w:ind w:firstLine="480"/>
        <w:jc w:val="both"/>
        <w:rPr>
          <w:rFonts w:hint="default"/>
          <w:lang w:val="en-US" w:eastAsia="zh-CN"/>
        </w:rPr>
      </w:pPr>
      <w:r>
        <w:rPr>
          <w:rFonts w:hint="default"/>
          <w:lang w:val="en-US" w:eastAsia="zh-CN"/>
        </w:rPr>
        <w:t>建设全国统一大市场，是党中央从全局和战略高度作出的重大决策。党的二十届四中全会提出，坚决破除阻碍全国统一大市场建设卡点堵点。国家税务总局运用增值税发票等税收大数据对省际贸易开展分析发现，2025年全国统一大市场建设纵深推进。</w:t>
      </w:r>
    </w:p>
    <w:p w14:paraId="027279C2">
      <w:pPr>
        <w:pStyle w:val="21"/>
        <w:spacing w:before="240" w:after="240" w:line="540" w:lineRule="atLeast"/>
        <w:ind w:firstLine="480"/>
        <w:jc w:val="both"/>
        <w:rPr>
          <w:rFonts w:hint="default"/>
          <w:lang w:val="en-US" w:eastAsia="zh-CN"/>
        </w:rPr>
      </w:pPr>
      <w:r>
        <w:rPr>
          <w:rFonts w:hint="default"/>
          <w:b/>
          <w:bCs/>
          <w:lang w:val="en-US" w:eastAsia="zh-CN"/>
        </w:rPr>
        <w:t>——全国省际贸易快速发展。</w:t>
      </w:r>
      <w:r>
        <w:rPr>
          <w:rFonts w:hint="default"/>
          <w:lang w:val="en-US" w:eastAsia="zh-CN"/>
        </w:rPr>
        <w:t>2025年，全国省际贸易销售额同比增长4.5%，高于全国销售收入增速；占全国销售额的41%，较上年同期提高0.8个百分点。从全国31个省份看，超8成（26个）省份省际销售额增速实现正增长。</w:t>
      </w:r>
    </w:p>
    <w:p w14:paraId="56BA16DA">
      <w:pPr>
        <w:pStyle w:val="21"/>
        <w:spacing w:before="240" w:after="240" w:line="540" w:lineRule="atLeast"/>
        <w:ind w:firstLine="480"/>
        <w:jc w:val="both"/>
        <w:rPr>
          <w:rFonts w:hint="default"/>
          <w:lang w:val="en-US" w:eastAsia="zh-CN"/>
        </w:rPr>
      </w:pPr>
      <w:r>
        <w:rPr>
          <w:rFonts w:hint="default"/>
          <w:b/>
          <w:bCs/>
          <w:lang w:val="en-US" w:eastAsia="zh-CN"/>
        </w:rPr>
        <w:t>——重点区域辐射带动作用显现。</w:t>
      </w:r>
      <w:r>
        <w:rPr>
          <w:rFonts w:hint="default"/>
          <w:lang w:val="en-US" w:eastAsia="zh-CN"/>
        </w:rPr>
        <w:t>2025年，京津冀、长三角、珠三角地区的区域外销售额同比分别增长4%、6.2%和4.6%，较上述地区总体增速分别高0.9个、3.1个和1.7个百分点；长江经济带、黄河流域的区域外销售额同比分别增长5.8%和4%，较两地总体增速分别高2.5个和3.7个百分点。重点区域之间贸易往来频繁，京津冀销往长三角、黄河流域销往长江经济带销售额同比分别增长6.7%和5.2%；长三角、珠三角销往成渝地区销售额同比分别增长5.7%和7.8%。</w:t>
      </w:r>
    </w:p>
    <w:p w14:paraId="7F5B5EBC">
      <w:pPr>
        <w:pStyle w:val="21"/>
        <w:spacing w:before="240" w:after="240" w:line="540" w:lineRule="atLeast"/>
        <w:ind w:firstLine="480"/>
        <w:jc w:val="both"/>
        <w:rPr>
          <w:rFonts w:hint="default"/>
          <w:lang w:val="en-US" w:eastAsia="zh-CN"/>
        </w:rPr>
      </w:pPr>
      <w:r>
        <w:rPr>
          <w:rFonts w:hint="default"/>
          <w:b/>
          <w:bCs/>
          <w:lang w:val="en-US" w:eastAsia="zh-CN"/>
        </w:rPr>
        <w:t>——跨省贸易经营主体户数快速增长。</w:t>
      </w:r>
      <w:r>
        <w:rPr>
          <w:rFonts w:hint="default"/>
          <w:lang w:val="en-US" w:eastAsia="zh-CN"/>
        </w:rPr>
        <w:t>2025年，全国跨省异地销售的涉税经营主体户数同比增长8%，占发生销售行为户数的57.6%，较上年同期提高1.3个百分点。同时，跨省销售额增长的经营主体户数同比增长7.5%，占跨省异地销售户数的62.9%。</w:t>
      </w:r>
    </w:p>
    <w:p w14:paraId="6E73CBDB">
      <w:pPr>
        <w:pStyle w:val="21"/>
        <w:spacing w:before="240" w:after="240" w:line="540" w:lineRule="atLeast"/>
        <w:ind w:firstLine="480"/>
        <w:jc w:val="both"/>
        <w:rPr>
          <w:rFonts w:hint="default"/>
          <w:lang w:val="en-US" w:eastAsia="zh-CN"/>
        </w:rPr>
      </w:pPr>
      <w:r>
        <w:rPr>
          <w:rFonts w:hint="default"/>
          <w:b/>
          <w:bCs/>
          <w:lang w:val="en-US" w:eastAsia="zh-CN"/>
        </w:rPr>
        <w:t>——跨省交通物流和信息服务稳步增长。</w:t>
      </w:r>
      <w:r>
        <w:rPr>
          <w:rFonts w:hint="default"/>
          <w:lang w:val="en-US" w:eastAsia="zh-CN"/>
        </w:rPr>
        <w:t>2025年，交通运输物流业省际销售额同比增长6.6%，较行业总体增速快1.9个百分点。跨省信息互通加快发展，全国信息服务省际销售额同比增长19.7%。</w:t>
      </w:r>
    </w:p>
    <w:p w14:paraId="695CCC93">
      <w:pPr>
        <w:pStyle w:val="21"/>
        <w:spacing w:before="240" w:after="240" w:line="540" w:lineRule="atLeast"/>
        <w:ind w:firstLine="480"/>
        <w:jc w:val="both"/>
        <w:rPr>
          <w:rFonts w:hint="default"/>
          <w:lang w:val="en-US" w:eastAsia="zh-CN"/>
        </w:rPr>
      </w:pPr>
      <w:r>
        <w:rPr>
          <w:rFonts w:hint="default"/>
          <w:lang w:val="en-US" w:eastAsia="zh-CN"/>
        </w:rPr>
        <w:t>国家税务总局有关司局负责人表示，构建高效规范、公平竞争、充分开放的全国统一大市场，既是畅通国内大循环、夯实新发展格局基础的关键之举，也是推动经济高质量发展的内在要求。税务部门将持续深入贯彻党中央、国务院关于纵深推进全国统一大市场建设“五统一、一开放”的基本要求，坚决做全国统一大市场的有力维护者和推进者，不断增强税费服务便利性、税务监管精准性、税务执法规范性，更好服务全国统一大市场建设。</w:t>
      </w:r>
    </w:p>
    <w:p w14:paraId="5B04D7DA">
      <w:pPr>
        <w:shd w:val="clear" w:color="auto" w:fill="FFFFFF"/>
        <w:spacing w:line="520" w:lineRule="exact"/>
        <w:ind w:firstLine="480" w:firstLineChars="200"/>
        <w:jc w:val="right"/>
        <w:rPr>
          <w:color w:val="BFBFBF" w:themeColor="background1" w:themeShade="BF"/>
        </w:rPr>
      </w:pPr>
      <w:r>
        <w:rPr>
          <w:rFonts w:hint="eastAsia"/>
          <w:color w:val="BFBFBF" w:themeColor="background1" w:themeShade="BF"/>
        </w:rPr>
        <w:t>（来源：国家税务总局网站）</w:t>
      </w:r>
    </w:p>
    <w:p w14:paraId="0AF46D10">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ind w:left="0" w:right="0" w:firstLine="420"/>
        <w:jc w:val="both"/>
        <w:rPr>
          <w:rFonts w:hint="default" w:ascii="Helvetica" w:hAnsi="Helvetica" w:eastAsia="Helvetica" w:cs="Helvetica"/>
          <w:i w:val="0"/>
          <w:iCs w:val="0"/>
          <w:caps w:val="0"/>
          <w:color w:val="333333"/>
          <w:spacing w:val="0"/>
          <w:sz w:val="27"/>
          <w:szCs w:val="27"/>
          <w:shd w:val="clear" w:fill="FFFFFF"/>
        </w:rPr>
      </w:pPr>
    </w:p>
    <w:p w14:paraId="0D868C28">
      <w:pPr>
        <w:shd w:val="clear" w:color="auto" w:fill="FFFFFF"/>
        <w:spacing w:line="520" w:lineRule="exact"/>
        <w:ind w:right="480"/>
        <w:rPr>
          <w:color w:val="BFBFBF" w:themeColor="background1" w:themeShade="BF"/>
        </w:rPr>
      </w:pPr>
    </w:p>
    <w:p w14:paraId="3CABF4EB">
      <w:pPr>
        <w:shd w:val="clear" w:color="auto" w:fill="FFFFFF"/>
        <w:spacing w:line="520" w:lineRule="exact"/>
        <w:ind w:firstLine="480" w:firstLineChars="200"/>
        <w:jc w:val="right"/>
        <w:rPr>
          <w:color w:val="BFBFBF" w:themeColor="background1" w:themeShade="BF"/>
        </w:rPr>
      </w:pPr>
    </w:p>
    <w:p w14:paraId="7845F97B">
      <w:pPr>
        <w:shd w:val="clear" w:color="auto" w:fill="FFFFFF"/>
        <w:spacing w:line="520" w:lineRule="exact"/>
        <w:ind w:firstLine="480" w:firstLineChars="200"/>
        <w:jc w:val="right"/>
        <w:rPr>
          <w:color w:val="BFBFBF" w:themeColor="background1" w:themeShade="BF"/>
        </w:rPr>
      </w:pPr>
    </w:p>
    <w:p w14:paraId="36708151">
      <w:pPr>
        <w:rPr>
          <w:color w:val="BFBFBF" w:themeColor="background1" w:themeShade="BF"/>
        </w:rPr>
      </w:pPr>
      <w:r>
        <w:rPr>
          <w:color w:val="BFBFBF" w:themeColor="background1" w:themeShade="BF"/>
        </w:rPr>
        <w:br w:type="page"/>
      </w:r>
    </w:p>
    <w:p w14:paraId="4A5720AD">
      <w:pPr>
        <w:pStyle w:val="22"/>
        <w:spacing w:before="0" w:after="0" w:line="520" w:lineRule="exact"/>
        <w:jc w:val="both"/>
        <w:rPr>
          <w:rFonts w:ascii="宋体" w:hAnsi="宋体" w:eastAsia="宋体"/>
          <w:color w:val="FFFFFF" w:themeColor="background1"/>
          <w:sz w:val="28"/>
          <w:szCs w:val="28"/>
          <w14:textFill>
            <w14:solidFill>
              <w14:schemeClr w14:val="bg1"/>
            </w14:solidFill>
          </w14:textFill>
        </w:rPr>
      </w:pPr>
      <w:bookmarkStart w:id="39" w:name="_Toc27207"/>
      <w:bookmarkStart w:id="40" w:name="_Toc140334227"/>
      <w:r>
        <w:rPr>
          <w:rFonts w:hint="eastAsia" w:ascii="宋体" w:hAnsi="宋体" w:eastAsia="宋体"/>
          <w:color w:val="FFFFFF" w:themeColor="background1"/>
          <w:highlight w:val="darkGray"/>
          <w14:textFill>
            <w14:solidFill>
              <w14:schemeClr w14:val="bg1"/>
            </w14:solidFill>
          </w14:textFill>
        </w:rPr>
        <w:t>涉税案件分享</w:t>
      </w:r>
      <w:bookmarkEnd w:id="39"/>
      <w:bookmarkEnd w:id="40"/>
    </w:p>
    <w:p w14:paraId="080BD8A9">
      <w:pPr>
        <w:pStyle w:val="2"/>
        <w:jc w:val="center"/>
        <w:rPr>
          <w:rFonts w:hint="eastAsia" w:ascii="宋体" w:hAnsi="宋体" w:eastAsia="宋体" w:cs="微软雅黑"/>
          <w:color w:val="0070C0"/>
          <w:sz w:val="28"/>
          <w:szCs w:val="28"/>
          <w:lang w:val="en-US" w:eastAsia="zh-CN"/>
        </w:rPr>
      </w:pPr>
      <w:bookmarkStart w:id="41" w:name="_Toc16803"/>
      <w:r>
        <w:rPr>
          <w:rFonts w:hint="eastAsia" w:ascii="宋体" w:hAnsi="宋体" w:eastAsia="宋体" w:cs="微软雅黑"/>
          <w:color w:val="0070C0"/>
          <w:sz w:val="28"/>
          <w:szCs w:val="28"/>
          <w:lang w:val="en-US" w:eastAsia="zh-CN"/>
        </w:rPr>
        <w:t>税务部门曝光4起骗取出口退税违法案件</w:t>
      </w:r>
      <w:bookmarkEnd w:id="41"/>
    </w:p>
    <w:p w14:paraId="59828713">
      <w:pPr>
        <w:pStyle w:val="2"/>
        <w:jc w:val="center"/>
        <w:rPr>
          <w:rFonts w:hint="eastAsia" w:ascii="宋体" w:hAnsi="宋体" w:eastAsia="宋体" w:cs="微软雅黑"/>
          <w:color w:val="0070C0"/>
          <w:sz w:val="28"/>
          <w:szCs w:val="28"/>
          <w:lang w:val="en-US" w:eastAsia="zh-CN"/>
        </w:rPr>
      </w:pPr>
      <w:bookmarkStart w:id="42" w:name="_Toc6391"/>
      <w:r>
        <w:rPr>
          <w:rFonts w:hint="eastAsia" w:ascii="宋体" w:hAnsi="宋体" w:eastAsia="宋体" w:cs="微软雅黑"/>
          <w:color w:val="0070C0"/>
          <w:sz w:val="28"/>
          <w:szCs w:val="28"/>
          <w:lang w:val="en-US" w:eastAsia="zh-CN"/>
        </w:rPr>
        <w:t>“买单配票”、虚构交易等骗税行为均被依法查处</w:t>
      </w:r>
      <w:bookmarkEnd w:id="42"/>
    </w:p>
    <w:p w14:paraId="3097A873">
      <w:pPr>
        <w:shd w:val="clear" w:color="auto" w:fill="FFFFFF"/>
        <w:spacing w:before="240" w:after="240" w:line="540" w:lineRule="atLeast"/>
        <w:ind w:firstLine="480" w:firstLineChars="200"/>
        <w:rPr>
          <w:rFonts w:hint="eastAsia"/>
          <w:b w:val="0"/>
          <w:bCs w:val="0"/>
        </w:rPr>
      </w:pPr>
      <w:r>
        <w:rPr>
          <w:rFonts w:hint="default"/>
          <w:b w:val="0"/>
          <w:bCs w:val="0"/>
        </w:rPr>
        <w:t>2月27日，天津、黑龙江、贵州、重庆等地多部门联合依法查处并曝光4起骗取出口退税违法案件。分别是：</w:t>
      </w:r>
    </w:p>
    <w:p w14:paraId="67C990D1">
      <w:pPr>
        <w:shd w:val="clear" w:color="auto" w:fill="FFFFFF"/>
        <w:spacing w:before="240" w:after="240" w:line="540" w:lineRule="atLeast"/>
        <w:ind w:firstLine="482" w:firstLineChars="200"/>
        <w:rPr>
          <w:rFonts w:hint="default"/>
          <w:b w:val="0"/>
          <w:bCs w:val="0"/>
        </w:rPr>
      </w:pPr>
      <w:r>
        <w:rPr>
          <w:rFonts w:hint="default"/>
          <w:b/>
          <w:bCs/>
        </w:rPr>
        <w:t>一、天津市税务公安等部门联合依法查处以杨荣栋为实际控制人的3户出口企业骗取出口退税案件。</w:t>
      </w:r>
      <w:r>
        <w:rPr>
          <w:rFonts w:hint="default"/>
          <w:b w:val="0"/>
          <w:bCs w:val="0"/>
        </w:rPr>
        <w:t>经查，2020年至2022年，以杨荣栋为实际控制人的天津市润兴泰供应链管理服务有限公司、天津益鼎沣供应链管理服务有限公司、天津浩丰鼎业供应链管理服务有限公司，通过签订虚假买卖合同、购买他人出口货物报关单信息、接受上游企业虚开增值税专用发票等违法手段骗取出口退税。2025年3月，税务部门依据《中华人民共和国税收征收管理法》等相关法律法规规定，对上述3户企业追缴骗取出口退税款2.01亿元，三年内停止为其办理出口退税。目前，杨荣栋等6人因涉嫌骗取出口退税罪等由天津市滨海新区人民检察院向天津市第三中级人民法院、天津市滨海新区人民法院提起公诉。</w:t>
      </w:r>
    </w:p>
    <w:p w14:paraId="260CFA08">
      <w:pPr>
        <w:shd w:val="clear" w:color="auto" w:fill="FFFFFF"/>
        <w:spacing w:before="240" w:after="240" w:line="540" w:lineRule="atLeast"/>
        <w:ind w:firstLine="482" w:firstLineChars="200"/>
        <w:rPr>
          <w:rFonts w:hint="default"/>
          <w:b w:val="0"/>
          <w:bCs w:val="0"/>
        </w:rPr>
      </w:pPr>
      <w:r>
        <w:rPr>
          <w:rFonts w:hint="default"/>
          <w:b/>
          <w:bCs/>
        </w:rPr>
        <w:t>二、国家税务总局驻沈阳稽查局联合黑龙江省税务公安等部门依法查处以刘敬伟为实际控制人的7户企业骗取出口退税案件。</w:t>
      </w:r>
      <w:r>
        <w:rPr>
          <w:rFonts w:hint="default"/>
          <w:b w:val="0"/>
          <w:bCs w:val="0"/>
        </w:rPr>
        <w:t>经查，2020年至2023年，以刘敬伟为实际控制人的牡丹江浩玮智能家具有限公司等7户企业，通过虚开农产品发票，采取买单配票等违法手段骗取出口退税。2024年2月，税务部门依据《中华人民共和国税收征收管理法》等相关法律法规规定，对牡丹江浩玮智能家具有限公司等7户企业追缴骗取出口退税款6697.45万元，三年内停止为其办理出口退税。2025年10月，齐齐哈尔市铁锋区人民法院对该案作出判决，主犯刘敬伟因犯骗取出口退税罪，被判处有期徒刑十五年并处罚金；其余12名从犯分别被判处有期徒刑二年零十个月至十二年并处罚金。</w:t>
      </w:r>
    </w:p>
    <w:p w14:paraId="703F7692">
      <w:pPr>
        <w:shd w:val="clear" w:color="auto" w:fill="FFFFFF"/>
        <w:spacing w:before="240" w:after="240" w:line="540" w:lineRule="atLeast"/>
        <w:ind w:firstLine="482" w:firstLineChars="200"/>
        <w:rPr>
          <w:rFonts w:hint="default"/>
          <w:b w:val="0"/>
          <w:bCs w:val="0"/>
        </w:rPr>
      </w:pPr>
      <w:r>
        <w:rPr>
          <w:rFonts w:hint="default"/>
          <w:b/>
          <w:bCs/>
        </w:rPr>
        <w:t>三、贵州省遵义市税务公安等部门联合依法查处赤水汇达丰商贸有限公司骗取出口退税案件。</w:t>
      </w:r>
      <w:r>
        <w:rPr>
          <w:rFonts w:hint="default"/>
          <w:b w:val="0"/>
          <w:bCs w:val="0"/>
        </w:rPr>
        <w:t>经查，2020年至2022年，以余建为实际控制人的赤水汇达丰商贸有限公司，通过虚开增值税发票、签订虚假购销合同、低值高报出口商品价格、利用地下钱庄虚假结汇等违法手段骗取出口退税。2025年7月，税务部门依据《中华人民共和国税收征收管理法》等相关法律法规规定，对赤水汇达丰商贸有限公司追缴骗取出口退税款5465.09万元，三年内停止为其办理出口退税。2025年12月，赤水市人民法院对该案作出一审判决，主犯余建犯骗取出口退税罪，被判处有期徒刑十三年，并处没收全部个人财产；其余5名从犯分别被判处有期徒刑两年六个月至五年二个月并处罚金。</w:t>
      </w:r>
    </w:p>
    <w:p w14:paraId="436E3973">
      <w:pPr>
        <w:shd w:val="clear" w:color="auto" w:fill="FFFFFF"/>
        <w:spacing w:before="240" w:after="240" w:line="540" w:lineRule="atLeast"/>
        <w:ind w:firstLine="482" w:firstLineChars="200"/>
        <w:rPr>
          <w:rFonts w:hint="default"/>
          <w:b w:val="0"/>
          <w:bCs w:val="0"/>
        </w:rPr>
      </w:pPr>
      <w:r>
        <w:rPr>
          <w:rFonts w:hint="default"/>
          <w:b/>
          <w:bCs/>
        </w:rPr>
        <w:t>四、重庆市税务海关等部门联合依法查处泓一生物工程（重庆）有限公司骗取出口退税案件。</w:t>
      </w:r>
      <w:r>
        <w:rPr>
          <w:rFonts w:hint="default"/>
          <w:b w:val="0"/>
          <w:bCs w:val="0"/>
        </w:rPr>
        <w:t>经查，2021年至2023年，泓一生物工程（重庆）有限公司通过虚构农产品采购、虚开增值税发票、购买使用假发票、伪造生产出口道具产品、利用地下钱庄虚假结汇等违法手段骗取出口退税。2025年3月，税务部门依据《中华人民共和国税收征收管理法》等相关法律法规规定，对泓一生物工程（重庆）有限公司追缴骗取出口退税款183.16万元，19个月内停止为其办理出口退税。目前，罗鸿等4人因涉嫌骗取出口退税罪、虚开发票罪、出售非法制造的发票罪等由重庆市人民检察院第一分院向重庆市第一中级人民法院提起公诉。</w:t>
      </w:r>
    </w:p>
    <w:p w14:paraId="2A9C9257">
      <w:pPr>
        <w:shd w:val="clear" w:color="auto" w:fill="FFFFFF"/>
        <w:spacing w:before="240" w:after="240" w:line="540" w:lineRule="atLeast"/>
        <w:ind w:firstLine="480" w:firstLineChars="200"/>
        <w:rPr>
          <w:rFonts w:hint="default"/>
          <w:b w:val="0"/>
          <w:bCs w:val="0"/>
        </w:rPr>
      </w:pPr>
      <w:r>
        <w:rPr>
          <w:rFonts w:hint="default"/>
          <w:b w:val="0"/>
          <w:bCs w:val="0"/>
        </w:rPr>
        <w:t>骗取出口退税属于税收征管法明确的违法行为。部分不法分子通过“买单配票”、虚构交易等违法手段骗取出口退税，不仅导致国家税款流失，还破坏了公平竞争的市场秩序，严重影响了外贸行业的健康发展。广大经营主体应坚持合规经营、依法纳税的理念，筑牢长远发展的根基。税务、公安、法院、检察、人民银行、海关、市场监管、外汇管理将进一步发挥八部门工作机制作用，联合打击虚开发票骗取出口退税等涉税违法犯罪行为，坚决维护规范有序的外贸市场秩序。</w:t>
      </w:r>
    </w:p>
    <w:p w14:paraId="5FF32FE1">
      <w:pPr>
        <w:shd w:val="clear" w:color="auto" w:fill="FFFFFF"/>
        <w:spacing w:line="520" w:lineRule="exact"/>
        <w:jc w:val="right"/>
        <w:rPr>
          <w:color w:val="BFBFBF" w:themeColor="background1" w:themeShade="BF"/>
        </w:rPr>
      </w:pPr>
      <w:r>
        <w:rPr>
          <w:rFonts w:hint="eastAsia"/>
          <w:color w:val="BFBFBF" w:themeColor="background1" w:themeShade="BF"/>
        </w:rPr>
        <w:t>（来源：国家税务总局网站）</w:t>
      </w:r>
    </w:p>
    <w:p w14:paraId="29F6F7CC">
      <w:pPr>
        <w:shd w:val="clear" w:color="auto" w:fill="FFFFFF"/>
        <w:spacing w:line="520" w:lineRule="exact"/>
        <w:jc w:val="right"/>
        <w:rPr>
          <w:color w:val="BFBFBF" w:themeColor="background1" w:themeShade="BF"/>
        </w:rPr>
      </w:pPr>
    </w:p>
    <w:p w14:paraId="36D6C086">
      <w:pPr>
        <w:shd w:val="clear" w:color="auto" w:fill="FFFFFF"/>
        <w:spacing w:line="520" w:lineRule="exact"/>
        <w:jc w:val="right"/>
        <w:rPr>
          <w:color w:val="BFBFBF" w:themeColor="background1" w:themeShade="BF"/>
        </w:rPr>
      </w:pPr>
    </w:p>
    <w:p w14:paraId="7D2DC432">
      <w:pPr>
        <w:shd w:val="clear" w:color="auto" w:fill="FFFFFF"/>
        <w:spacing w:line="520" w:lineRule="exact"/>
        <w:jc w:val="right"/>
        <w:rPr>
          <w:color w:val="BFBFBF" w:themeColor="background1" w:themeShade="BF"/>
        </w:rPr>
      </w:pPr>
    </w:p>
    <w:p w14:paraId="157EDE98">
      <w:pPr>
        <w:shd w:val="clear" w:color="auto" w:fill="FFFFFF"/>
        <w:spacing w:line="520" w:lineRule="exact"/>
        <w:jc w:val="right"/>
        <w:rPr>
          <w:color w:val="BFBFBF" w:themeColor="background1" w:themeShade="BF"/>
        </w:rPr>
      </w:pPr>
    </w:p>
    <w:p w14:paraId="4BAA1657">
      <w:pPr>
        <w:shd w:val="clear" w:color="auto" w:fill="FFFFFF"/>
        <w:spacing w:line="520" w:lineRule="exact"/>
        <w:jc w:val="right"/>
        <w:rPr>
          <w:color w:val="BFBFBF" w:themeColor="background1" w:themeShade="BF"/>
        </w:rPr>
      </w:pPr>
    </w:p>
    <w:p w14:paraId="5664DD53">
      <w:pPr>
        <w:shd w:val="clear" w:color="auto" w:fill="FFFFFF"/>
        <w:spacing w:line="520" w:lineRule="exact"/>
        <w:jc w:val="right"/>
        <w:rPr>
          <w:color w:val="BFBFBF" w:themeColor="background1" w:themeShade="BF"/>
        </w:rPr>
      </w:pPr>
    </w:p>
    <w:p w14:paraId="6F701307">
      <w:pPr>
        <w:shd w:val="clear" w:color="auto" w:fill="FFFFFF"/>
        <w:spacing w:line="520" w:lineRule="exact"/>
        <w:jc w:val="right"/>
        <w:rPr>
          <w:color w:val="BFBFBF" w:themeColor="background1" w:themeShade="BF"/>
        </w:rPr>
      </w:pPr>
    </w:p>
    <w:p w14:paraId="7D48EBD2">
      <w:pPr>
        <w:shd w:val="clear" w:color="auto" w:fill="FFFFFF"/>
        <w:spacing w:line="520" w:lineRule="exact"/>
        <w:jc w:val="right"/>
        <w:rPr>
          <w:color w:val="BFBFBF" w:themeColor="background1" w:themeShade="BF"/>
        </w:rPr>
      </w:pPr>
    </w:p>
    <w:p w14:paraId="4E2F5023">
      <w:pPr>
        <w:shd w:val="clear" w:color="auto" w:fill="FFFFFF"/>
        <w:spacing w:line="520" w:lineRule="exact"/>
        <w:jc w:val="right"/>
        <w:rPr>
          <w:color w:val="BFBFBF" w:themeColor="background1" w:themeShade="BF"/>
        </w:rPr>
      </w:pPr>
    </w:p>
    <w:p w14:paraId="2D39138E">
      <w:pPr>
        <w:shd w:val="clear" w:color="auto" w:fill="FFFFFF"/>
        <w:spacing w:line="520" w:lineRule="exact"/>
        <w:jc w:val="right"/>
        <w:rPr>
          <w:color w:val="BFBFBF" w:themeColor="background1" w:themeShade="BF"/>
        </w:rPr>
      </w:pPr>
    </w:p>
    <w:p w14:paraId="1A5A9AD4">
      <w:pPr>
        <w:shd w:val="clear" w:color="auto" w:fill="FFFFFF"/>
        <w:spacing w:line="520" w:lineRule="exact"/>
        <w:jc w:val="right"/>
        <w:rPr>
          <w:color w:val="BFBFBF" w:themeColor="background1" w:themeShade="BF"/>
        </w:rPr>
      </w:pPr>
    </w:p>
    <w:p w14:paraId="4A6F8BB6">
      <w:pPr>
        <w:shd w:val="clear" w:color="auto" w:fill="FFFFFF"/>
        <w:spacing w:line="520" w:lineRule="exact"/>
        <w:jc w:val="right"/>
        <w:rPr>
          <w:color w:val="BFBFBF" w:themeColor="background1" w:themeShade="BF"/>
        </w:rPr>
      </w:pPr>
    </w:p>
    <w:p w14:paraId="12835BB3">
      <w:pPr>
        <w:shd w:val="clear" w:color="auto" w:fill="FFFFFF"/>
        <w:spacing w:line="520" w:lineRule="exact"/>
        <w:jc w:val="right"/>
        <w:rPr>
          <w:color w:val="BFBFBF" w:themeColor="background1" w:themeShade="BF"/>
        </w:rPr>
      </w:pPr>
    </w:p>
    <w:p w14:paraId="73191302">
      <w:pPr>
        <w:shd w:val="clear" w:color="auto" w:fill="FFFFFF"/>
        <w:spacing w:line="520" w:lineRule="exact"/>
        <w:jc w:val="right"/>
        <w:rPr>
          <w:color w:val="BFBFBF" w:themeColor="background1" w:themeShade="BF"/>
        </w:rPr>
      </w:pPr>
    </w:p>
    <w:p w14:paraId="35D4C719">
      <w:pPr>
        <w:shd w:val="clear" w:color="auto" w:fill="FFFFFF"/>
        <w:spacing w:line="520" w:lineRule="exact"/>
        <w:jc w:val="right"/>
        <w:rPr>
          <w:color w:val="BFBFBF" w:themeColor="background1" w:themeShade="BF"/>
        </w:rPr>
      </w:pPr>
    </w:p>
    <w:p w14:paraId="22C1DC48">
      <w:pPr>
        <w:shd w:val="clear" w:color="auto" w:fill="FFFFFF"/>
        <w:spacing w:line="520" w:lineRule="exact"/>
        <w:jc w:val="right"/>
        <w:rPr>
          <w:color w:val="BFBFBF" w:themeColor="background1" w:themeShade="BF"/>
        </w:rPr>
      </w:pPr>
    </w:p>
    <w:p w14:paraId="6DDB79FC">
      <w:pPr>
        <w:shd w:val="clear" w:color="auto" w:fill="FFFFFF"/>
        <w:spacing w:line="520" w:lineRule="exact"/>
        <w:jc w:val="right"/>
        <w:rPr>
          <w:color w:val="BFBFBF" w:themeColor="background1" w:themeShade="BF"/>
        </w:rPr>
      </w:pPr>
    </w:p>
    <w:p w14:paraId="2F786F7E">
      <w:pPr>
        <w:shd w:val="clear" w:color="auto" w:fill="FFFFFF"/>
        <w:spacing w:line="520" w:lineRule="exact"/>
        <w:jc w:val="right"/>
        <w:rPr>
          <w:color w:val="BFBFBF" w:themeColor="background1" w:themeShade="BF"/>
        </w:rPr>
      </w:pPr>
    </w:p>
    <w:p w14:paraId="798F8543">
      <w:pPr>
        <w:shd w:val="clear" w:color="auto" w:fill="FFFFFF"/>
        <w:spacing w:line="520" w:lineRule="exact"/>
        <w:jc w:val="right"/>
        <w:rPr>
          <w:color w:val="BFBFBF" w:themeColor="background1" w:themeShade="BF"/>
        </w:rPr>
      </w:pPr>
    </w:p>
    <w:p w14:paraId="2B338DB6">
      <w:pPr>
        <w:shd w:val="clear" w:color="auto" w:fill="FFFFFF"/>
        <w:spacing w:line="520" w:lineRule="exact"/>
        <w:jc w:val="right"/>
        <w:rPr>
          <w:color w:val="BFBFBF" w:themeColor="background1" w:themeShade="BF"/>
        </w:rPr>
      </w:pPr>
    </w:p>
    <w:p w14:paraId="6B8E783D">
      <w:pPr>
        <w:pStyle w:val="2"/>
        <w:jc w:val="center"/>
        <w:rPr>
          <w:rFonts w:hint="eastAsia" w:ascii="宋体" w:hAnsi="宋体" w:eastAsia="宋体" w:cs="微软雅黑"/>
          <w:color w:val="0070C0"/>
          <w:sz w:val="28"/>
          <w:szCs w:val="28"/>
          <w:lang w:val="en-US" w:eastAsia="zh-CN"/>
        </w:rPr>
      </w:pPr>
      <w:bookmarkStart w:id="43" w:name="_Toc25586"/>
      <w:r>
        <w:rPr>
          <w:rFonts w:hint="default" w:ascii="宋体" w:hAnsi="宋体" w:eastAsia="宋体" w:cs="微软雅黑"/>
          <w:color w:val="0070C0"/>
          <w:sz w:val="28"/>
          <w:szCs w:val="28"/>
          <w:lang w:val="en-US" w:eastAsia="zh-CN"/>
        </w:rPr>
        <w:t>税务部门曝光4起骗享税费优惠偷税案件</w:t>
      </w:r>
      <w:bookmarkEnd w:id="43"/>
    </w:p>
    <w:p w14:paraId="7EF193BA">
      <w:pPr>
        <w:shd w:val="clear" w:color="auto" w:fill="FFFFFF"/>
        <w:spacing w:before="240" w:after="240" w:line="540" w:lineRule="atLeast"/>
        <w:ind w:firstLine="480" w:firstLineChars="200"/>
        <w:rPr>
          <w:rFonts w:hint="default"/>
          <w:b w:val="0"/>
          <w:bCs w:val="0"/>
        </w:rPr>
      </w:pPr>
      <w:r>
        <w:rPr>
          <w:rFonts w:hint="default"/>
          <w:b w:val="0"/>
          <w:bCs w:val="0"/>
        </w:rPr>
        <w:t>2月6日，西藏拉萨、江苏扬州、安徽铜陵、甘肃嘉峪关等地税务部门曝光4起依法查处的通过虚列研发费用、个人账户收款隐匿收入、拆分收入、虚列成本等手段骗享税费优惠偷税案件，分别是：</w:t>
      </w:r>
    </w:p>
    <w:p w14:paraId="04B5DBE6">
      <w:pPr>
        <w:shd w:val="clear" w:color="auto" w:fill="FFFFFF"/>
        <w:spacing w:before="240" w:after="240" w:line="540" w:lineRule="atLeast"/>
        <w:ind w:firstLine="482" w:firstLineChars="200"/>
        <w:rPr>
          <w:rFonts w:hint="default"/>
          <w:b w:val="0"/>
          <w:bCs w:val="0"/>
        </w:rPr>
      </w:pPr>
      <w:r>
        <w:rPr>
          <w:rFonts w:hint="default"/>
          <w:b/>
          <w:bCs/>
        </w:rPr>
        <w:t>一、国家税务总局拉萨市税务局稽查局依法查处西藏慧业医药科技有限公司骗享研发费用加计扣除税费优惠偷税案件。</w:t>
      </w:r>
      <w:r>
        <w:rPr>
          <w:rFonts w:hint="default"/>
          <w:b w:val="0"/>
          <w:bCs w:val="0"/>
        </w:rPr>
        <w:t>经查，2020年至2023年，该公司通过将外购技术伪装成委托研发、委托研发费用违规多加计扣除等手段，进行虚假纳税申报，违规享受研发费用加计扣除税收优惠，少缴企业所得税999.09万元。2025年6月，国家税务总局拉萨市税务局稽查局依据《中华人民共和国税收征收管理法》等相关法律法规规定，对其作出追缴税款、加收滞纳金并处罚款共计1715.99万元的处理处罚决定。目前，涉案税款、滞纳金及罚款均已追缴入库。</w:t>
      </w:r>
    </w:p>
    <w:p w14:paraId="08D77CAD">
      <w:pPr>
        <w:shd w:val="clear" w:color="auto" w:fill="FFFFFF"/>
        <w:spacing w:before="240" w:after="240" w:line="540" w:lineRule="atLeast"/>
        <w:ind w:firstLine="482" w:firstLineChars="200"/>
        <w:rPr>
          <w:rFonts w:hint="default"/>
          <w:b w:val="0"/>
          <w:bCs w:val="0"/>
        </w:rPr>
      </w:pPr>
      <w:r>
        <w:rPr>
          <w:rFonts w:hint="default"/>
          <w:b/>
          <w:bCs/>
        </w:rPr>
        <w:t>二、国家税务总局扬州市税务局第一稽查局依法查处扬州春风船舶机械制造有限公司骗享小型微利企业税费优惠偷税案件。</w:t>
      </w:r>
      <w:r>
        <w:rPr>
          <w:rFonts w:hint="default"/>
          <w:b w:val="0"/>
          <w:bCs w:val="0"/>
        </w:rPr>
        <w:t>经查，2021年至2023年，该公司通过个人账户收款隐匿收入的手段，进行虚假纳税申报，违规享受小型微利企业税费优惠，少缴增值税、企业所得税等税费共计171.73万元。同时，该公司还通过虚增人员、分摊员工工资薪金等方式，少代扣代缴个人所得税17.73万元。2025年6月，国家税务总局扬州市税务局第一稽查局依据《中华人民共和国税收征收管理法》等相关法律法规规定，对其作出追缴税费款、加收滞纳金并处罚款共计357.58万元的处理处罚决定。目前，涉案税费款、滞纳金及罚款均已追缴入库。</w:t>
      </w:r>
    </w:p>
    <w:p w14:paraId="750C7285">
      <w:pPr>
        <w:shd w:val="clear" w:color="auto" w:fill="FFFFFF"/>
        <w:spacing w:before="240" w:after="240" w:line="540" w:lineRule="atLeast"/>
        <w:ind w:firstLine="482" w:firstLineChars="200"/>
        <w:rPr>
          <w:rFonts w:hint="default"/>
          <w:b w:val="0"/>
          <w:bCs w:val="0"/>
        </w:rPr>
      </w:pPr>
      <w:r>
        <w:rPr>
          <w:rFonts w:hint="default"/>
          <w:b/>
          <w:bCs/>
        </w:rPr>
        <w:t>三、国家税务总局铜陵市税务局稽查局依法查处安徽星印网络科技有限公司骗享增值税小规模纳税人、小型微利企业税费优惠偷税案件。</w:t>
      </w:r>
      <w:r>
        <w:rPr>
          <w:rFonts w:hint="default"/>
          <w:b w:val="0"/>
          <w:bCs w:val="0"/>
        </w:rPr>
        <w:t>经查，2022年至2024年，该公司通过设立空壳个体工商户，将本属于公司的营业收入拆分至空壳个体工商户，并以个人银行账户收款隐匿收入等手段，进行虚假纳税申报，违规享受增值税小规模纳税人、小型微利企业税费优惠，少缴增值税、企业所得税等税费共计160.80万元。2025年9月，国家税务总局铜陵市税务局稽查局依据《中华人民共和国税收征收管理法》等相关法律法规规定，对其作出追缴税费款、加收滞纳金并处罚款共计286.13万元的处理处罚决定。目前，涉案税费款、滞纳金及罚款均已追缴入库。</w:t>
      </w:r>
    </w:p>
    <w:p w14:paraId="513C7AD2">
      <w:pPr>
        <w:shd w:val="clear" w:color="auto" w:fill="FFFFFF"/>
        <w:spacing w:before="240" w:after="240" w:line="540" w:lineRule="atLeast"/>
        <w:ind w:firstLine="482" w:firstLineChars="200"/>
        <w:rPr>
          <w:rFonts w:hint="default"/>
          <w:b w:val="0"/>
          <w:bCs w:val="0"/>
        </w:rPr>
      </w:pPr>
      <w:r>
        <w:rPr>
          <w:rFonts w:hint="default"/>
          <w:b/>
          <w:bCs/>
        </w:rPr>
        <w:t>四、国家税务总局嘉峪关市税务局稽查局依法查处嘉峪关宏兴西域能源有限责任公司骗享小型微利企业税费优惠偷税案件。</w:t>
      </w:r>
      <w:r>
        <w:rPr>
          <w:rFonts w:hint="default"/>
          <w:b w:val="0"/>
          <w:bCs w:val="0"/>
        </w:rPr>
        <w:t>经查，2020年至2023年，该公司通过取得虚开的增值税专用发票虚列成本、违规抵扣进项税额等手段，进行虚假纳税申报，违规享受小型微利企业税费优惠，少缴增值税、企业所得税等税费共计208.83万元。2025年2月，国家税务总局嘉峪关市税务局稽查局依据《中华人民共和国税收征收管理法》等相关法律法规规定，对其作出追缴税费款、加收滞纳金并处罚款共计338.79万元的处理处罚决定。目前，涉案税费款、滞纳金及罚款均已追缴入库，涉嫌虚开发票犯罪线索已移送公安机关。</w:t>
      </w:r>
    </w:p>
    <w:p w14:paraId="65742571">
      <w:pPr>
        <w:shd w:val="clear" w:color="auto" w:fill="FFFFFF"/>
        <w:spacing w:before="240" w:after="240" w:line="540" w:lineRule="atLeast"/>
        <w:ind w:firstLine="480" w:firstLineChars="200"/>
        <w:rPr>
          <w:rFonts w:hint="default"/>
          <w:b w:val="0"/>
          <w:bCs w:val="0"/>
        </w:rPr>
      </w:pPr>
      <w:r>
        <w:rPr>
          <w:rFonts w:hint="default"/>
          <w:b w:val="0"/>
          <w:bCs w:val="0"/>
        </w:rPr>
        <w:t>依法纳税是每一个经营主体的法定义务，享受税费优惠政策必须坚守合法合规底线。通过拆分收入、利用个人账户收款隐匿收入、虚列成本等方式骗享税费优惠的行为，背离了税费优惠政策的初衷，严重损害了诚信守法经营者的利益。广大经营主体应主动学法知法守法，准确理解政策要求，依法享受优惠、履行纳税义务。税务部门将在加强税法宣传、不断优化税费服务的同时，依法查处骗享税费优惠等偷逃税行为，保障国家税收安全，维护良好的经济税收秩序，营造法治公平的市场环境。</w:t>
      </w:r>
    </w:p>
    <w:p w14:paraId="0433C2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94" w:lineRule="atLeast"/>
        <w:ind w:left="0" w:right="0" w:firstLine="0"/>
        <w:jc w:val="left"/>
        <w:rPr>
          <w:rFonts w:hint="default" w:ascii="Helvetica" w:hAnsi="Helvetica" w:eastAsia="Helvetica" w:cs="Helvetica"/>
          <w:i w:val="0"/>
          <w:iCs w:val="0"/>
          <w:caps w:val="0"/>
          <w:color w:val="333333"/>
          <w:spacing w:val="0"/>
          <w:sz w:val="27"/>
          <w:szCs w:val="27"/>
        </w:rPr>
      </w:pPr>
    </w:p>
    <w:p w14:paraId="30053BE6">
      <w:pPr>
        <w:shd w:val="clear" w:color="auto" w:fill="FFFFFF"/>
        <w:spacing w:line="520" w:lineRule="exact"/>
        <w:jc w:val="right"/>
        <w:rPr>
          <w:rFonts w:hint="eastAsia"/>
          <w:color w:val="BFBFBF" w:themeColor="background1" w:themeShade="BF"/>
        </w:rPr>
      </w:pPr>
      <w:r>
        <w:rPr>
          <w:rFonts w:hint="eastAsia"/>
          <w:color w:val="BFBFBF" w:themeColor="background1" w:themeShade="BF"/>
        </w:rPr>
        <w:t>（来源：国家税务总局网站）</w:t>
      </w:r>
    </w:p>
    <w:p w14:paraId="33F29DFF">
      <w:pPr>
        <w:pStyle w:val="2"/>
        <w:jc w:val="center"/>
        <w:rPr>
          <w:rFonts w:hint="default" w:ascii="宋体" w:hAnsi="宋体" w:eastAsia="宋体" w:cs="微软雅黑"/>
          <w:color w:val="0070C0"/>
          <w:sz w:val="28"/>
          <w:szCs w:val="28"/>
          <w:lang w:val="en-US" w:eastAsia="zh-CN"/>
        </w:rPr>
      </w:pPr>
      <w:bookmarkStart w:id="44" w:name="_Toc5261"/>
      <w:r>
        <w:rPr>
          <w:rFonts w:hint="eastAsia" w:ascii="宋体" w:hAnsi="宋体" w:eastAsia="宋体" w:cs="微软雅黑"/>
          <w:color w:val="0070C0"/>
          <w:sz w:val="28"/>
          <w:szCs w:val="28"/>
          <w:lang w:val="en-US" w:eastAsia="zh-CN"/>
        </w:rPr>
        <w:t>税务部门再次曝光2起网络主播偷税案件</w:t>
      </w:r>
      <w:bookmarkEnd w:id="44"/>
    </w:p>
    <w:p w14:paraId="7A879C9E">
      <w:pPr>
        <w:pStyle w:val="2"/>
        <w:jc w:val="center"/>
        <w:rPr>
          <w:rFonts w:hint="eastAsia" w:ascii="宋体" w:hAnsi="宋体" w:eastAsia="宋体" w:cs="微软雅黑"/>
          <w:color w:val="0070C0"/>
          <w:sz w:val="28"/>
          <w:szCs w:val="28"/>
          <w:lang w:val="en-US" w:eastAsia="zh-CN"/>
        </w:rPr>
      </w:pPr>
      <w:bookmarkStart w:id="45" w:name="_Toc197"/>
      <w:r>
        <w:rPr>
          <w:rFonts w:hint="eastAsia" w:ascii="宋体" w:hAnsi="宋体" w:eastAsia="宋体" w:cs="微软雅黑"/>
          <w:color w:val="0070C0"/>
          <w:sz w:val="28"/>
          <w:szCs w:val="28"/>
          <w:lang w:val="en-US" w:eastAsia="zh-CN"/>
        </w:rPr>
        <w:t>将系统施治进一步规范网络主播行业税收秩序</w:t>
      </w:r>
      <w:bookmarkEnd w:id="45"/>
    </w:p>
    <w:p w14:paraId="40F34507">
      <w:pPr>
        <w:shd w:val="clear" w:color="auto" w:fill="FFFFFF"/>
        <w:spacing w:before="240" w:after="240" w:line="540" w:lineRule="atLeast"/>
        <w:ind w:firstLine="480" w:firstLineChars="200"/>
        <w:rPr>
          <w:rFonts w:hint="default"/>
          <w:b w:val="0"/>
          <w:bCs w:val="0"/>
        </w:rPr>
      </w:pPr>
      <w:r>
        <w:rPr>
          <w:rFonts w:hint="default"/>
          <w:b w:val="0"/>
          <w:bCs w:val="0"/>
        </w:rPr>
        <w:t>1月14日，重庆、甘肃两地税务部门曝光近几年依法查处的2起网络主播偷税案件。分别是：</w:t>
      </w:r>
    </w:p>
    <w:p w14:paraId="397B00C0">
      <w:pPr>
        <w:shd w:val="clear" w:color="auto" w:fill="FFFFFF"/>
        <w:spacing w:before="240" w:after="240" w:line="540" w:lineRule="atLeast"/>
        <w:ind w:firstLine="482" w:firstLineChars="200"/>
        <w:rPr>
          <w:rFonts w:hint="default"/>
          <w:b w:val="0"/>
          <w:bCs w:val="0"/>
        </w:rPr>
      </w:pPr>
      <w:r>
        <w:rPr>
          <w:rFonts w:hint="default"/>
          <w:b/>
          <w:bCs/>
        </w:rPr>
        <w:t>一、国家税务总局重庆市税务局第三稽查局依法查处网络主播彭煊之偷税案件。</w:t>
      </w:r>
      <w:r>
        <w:rPr>
          <w:rFonts w:hint="default"/>
          <w:b w:val="0"/>
          <w:bCs w:val="0"/>
        </w:rPr>
        <w:t>经查，2021年至2023年，彭煊之从事短视频创作、接拍商务广告等经营活动，通过隐匿收入、进行虚假申报等方式，少缴个人所得税、增值税等税费共计216.32万元。2025年11月，国家税务总局重庆市税务局第三稽查局依据《中华人民共和国税收征收管理法》《中华人民共和国行政处罚法》等相关法律法规规定，对其作出追缴税费款、加收滞纳金并处罚款共计415.05万元的处理处罚决定。目前，涉案税费款、滞纳金及罚款均已追缴入库。</w:t>
      </w:r>
    </w:p>
    <w:p w14:paraId="2D113CFE">
      <w:pPr>
        <w:shd w:val="clear" w:color="auto" w:fill="FFFFFF"/>
        <w:spacing w:before="240" w:after="240" w:line="540" w:lineRule="atLeast"/>
        <w:ind w:firstLine="482" w:firstLineChars="200"/>
        <w:rPr>
          <w:rFonts w:hint="default"/>
          <w:b w:val="0"/>
          <w:bCs w:val="0"/>
        </w:rPr>
      </w:pPr>
      <w:r>
        <w:rPr>
          <w:rFonts w:hint="default"/>
          <w:b/>
          <w:bCs/>
        </w:rPr>
        <w:t>二、国家税务总局天水市税务局第一稽查局依法查处网络主播杨遂娃偷税案。</w:t>
      </w:r>
      <w:r>
        <w:rPr>
          <w:rFonts w:hint="default"/>
          <w:b w:val="0"/>
          <w:bCs w:val="0"/>
        </w:rPr>
        <w:t>经查，2022年至2024年，杨遂娃在网络平台直播带货取得佣金收入，通过隐匿收入、进行虚假申报等方式，少缴增值税、个人所得税等税费101.64万元。2025年7月，国家税务总局天水市税务局第一稽查局依据《中华人民共和国税收征收管理法》《中华人民共和国行政处罚法》等相关法律法规规定，对其作出追缴税费款、加收滞纳金并处罚款共计181.40万元的处理处罚决定。目前，涉案税费款、滞纳金及罚款均已追缴入库。</w:t>
      </w:r>
    </w:p>
    <w:p w14:paraId="5E263E74">
      <w:pPr>
        <w:shd w:val="clear" w:color="auto" w:fill="FFFFFF"/>
        <w:spacing w:before="240" w:after="240" w:line="540" w:lineRule="atLeast"/>
        <w:ind w:firstLine="480" w:firstLineChars="200"/>
        <w:rPr>
          <w:rFonts w:hint="default"/>
          <w:b w:val="0"/>
          <w:bCs w:val="0"/>
        </w:rPr>
      </w:pPr>
      <w:r>
        <w:rPr>
          <w:rFonts w:hint="default"/>
          <w:b w:val="0"/>
          <w:bCs w:val="0"/>
        </w:rPr>
        <w:t>网络并非法外之地，通过隐匿收入、进行虚假申报等方式偷逃税款，属于税收征管法规定的偷税行为。互联网平台内经营者和从业人员应诚信纳税，按规定如实进行纳税申报，坚持合规经营。税务部门将在持续加强税法宣传辅导、优化税费服务的同时，强化部门协同，依法查处网络主播各类涉税违法行为，系统施治、完善制度、加强监管，维护公平公正税收秩序，促进网络主播行业长期规范健康发展。</w:t>
      </w:r>
    </w:p>
    <w:p w14:paraId="1F54F0CB">
      <w:pPr>
        <w:shd w:val="clear" w:color="auto" w:fill="FFFFFF"/>
        <w:spacing w:line="520" w:lineRule="exact"/>
        <w:jc w:val="right"/>
        <w:rPr>
          <w:rFonts w:hint="eastAsia"/>
          <w:color w:val="BFBFBF" w:themeColor="background1" w:themeShade="BF"/>
        </w:rPr>
      </w:pPr>
      <w:r>
        <w:rPr>
          <w:rFonts w:hint="eastAsia"/>
          <w:color w:val="BFBFBF" w:themeColor="background1" w:themeShade="BF"/>
        </w:rPr>
        <w:t>（来源：国家税务总局网站）</w:t>
      </w:r>
    </w:p>
    <w:p w14:paraId="45D32B69">
      <w:pPr>
        <w:pStyle w:val="21"/>
        <w:spacing w:before="240" w:after="240" w:line="540" w:lineRule="atLeast"/>
        <w:jc w:val="both"/>
        <w:rPr>
          <w:rFonts w:hint="eastAsia"/>
        </w:rPr>
      </w:pPr>
    </w:p>
    <w:p w14:paraId="497F748A">
      <w:pPr>
        <w:pStyle w:val="21"/>
        <w:spacing w:before="240" w:after="240" w:line="540" w:lineRule="atLeast"/>
        <w:jc w:val="both"/>
        <w:rPr>
          <w:rFonts w:hint="eastAsia"/>
        </w:rPr>
      </w:pPr>
    </w:p>
    <w:p w14:paraId="52B32998">
      <w:pPr>
        <w:pStyle w:val="21"/>
        <w:spacing w:before="240" w:after="240" w:line="540" w:lineRule="atLeast"/>
        <w:jc w:val="both"/>
        <w:rPr>
          <w:rFonts w:hint="eastAsia"/>
        </w:rPr>
      </w:pPr>
    </w:p>
    <w:p w14:paraId="4F14709D">
      <w:pPr>
        <w:pStyle w:val="21"/>
        <w:spacing w:before="240" w:after="240" w:line="540" w:lineRule="atLeast"/>
        <w:jc w:val="both"/>
        <w:rPr>
          <w:rFonts w:hint="eastAsia"/>
        </w:rPr>
      </w:pPr>
    </w:p>
    <w:p w14:paraId="31A501DD">
      <w:pPr>
        <w:pStyle w:val="21"/>
        <w:spacing w:before="240" w:after="240" w:line="540" w:lineRule="atLeast"/>
        <w:jc w:val="both"/>
        <w:rPr>
          <w:rFonts w:hint="eastAsia"/>
        </w:rPr>
      </w:pPr>
    </w:p>
    <w:p w14:paraId="63FDA1A8">
      <w:pPr>
        <w:pStyle w:val="21"/>
        <w:spacing w:before="240" w:after="240" w:line="540" w:lineRule="atLeast"/>
        <w:jc w:val="both"/>
        <w:rPr>
          <w:rFonts w:hint="eastAsia"/>
        </w:rPr>
      </w:pPr>
    </w:p>
    <w:p w14:paraId="0C7E5243">
      <w:pPr>
        <w:pStyle w:val="21"/>
        <w:spacing w:before="240" w:after="240" w:line="540" w:lineRule="atLeast"/>
        <w:jc w:val="both"/>
        <w:rPr>
          <w:rFonts w:hint="eastAsia"/>
        </w:rPr>
      </w:pPr>
    </w:p>
    <w:p w14:paraId="28CD024E">
      <w:pPr>
        <w:pStyle w:val="21"/>
        <w:spacing w:before="240" w:after="240" w:line="540" w:lineRule="atLeast"/>
        <w:jc w:val="both"/>
        <w:rPr>
          <w:rFonts w:hint="eastAsia"/>
        </w:rPr>
      </w:pPr>
    </w:p>
    <w:p w14:paraId="1E236E60">
      <w:pPr>
        <w:pStyle w:val="21"/>
        <w:spacing w:before="240" w:after="240" w:line="540" w:lineRule="atLeast"/>
        <w:jc w:val="both"/>
        <w:rPr>
          <w:rFonts w:hint="eastAsia"/>
        </w:rPr>
      </w:pPr>
    </w:p>
    <w:p w14:paraId="2B541A71">
      <w:pPr>
        <w:pStyle w:val="21"/>
        <w:spacing w:before="240" w:after="240" w:line="540" w:lineRule="atLeast"/>
        <w:jc w:val="both"/>
        <w:rPr>
          <w:rFonts w:hint="eastAsia"/>
        </w:rPr>
      </w:pPr>
    </w:p>
    <w:p w14:paraId="0B308256">
      <w:pPr>
        <w:pStyle w:val="21"/>
        <w:spacing w:before="240" w:after="240" w:line="540" w:lineRule="atLeast"/>
        <w:jc w:val="both"/>
        <w:rPr>
          <w:rFonts w:hint="eastAsia"/>
        </w:rPr>
      </w:pPr>
    </w:p>
    <w:p w14:paraId="28539078">
      <w:pPr>
        <w:pStyle w:val="21"/>
        <w:spacing w:before="240" w:after="240" w:line="540" w:lineRule="atLeast"/>
        <w:jc w:val="both"/>
        <w:rPr>
          <w:rFonts w:hint="eastAsia"/>
        </w:rPr>
      </w:pPr>
    </w:p>
    <w:p w14:paraId="53DC48CD">
      <w:pPr>
        <w:pStyle w:val="21"/>
        <w:spacing w:before="240" w:after="240" w:line="540" w:lineRule="atLeast"/>
        <w:ind w:firstLine="480"/>
        <w:jc w:val="both"/>
        <w:rPr>
          <w:rFonts w:hint="eastAsia"/>
        </w:rPr>
      </w:pPr>
    </w:p>
    <w:p w14:paraId="180DC820">
      <w:pPr>
        <w:pStyle w:val="21"/>
        <w:spacing w:before="240" w:after="240" w:line="540" w:lineRule="atLeast"/>
        <w:jc w:val="both"/>
        <w:rPr>
          <w:rFonts w:hint="eastAsia"/>
        </w:rPr>
      </w:pPr>
    </w:p>
    <w:p w14:paraId="0BA0BC9B">
      <w:pPr>
        <w:pStyle w:val="22"/>
        <w:spacing w:before="0" w:after="0" w:line="520" w:lineRule="exact"/>
        <w:jc w:val="both"/>
        <w:rPr>
          <w:rFonts w:ascii="宋体" w:hAnsi="宋体" w:eastAsia="宋体"/>
          <w:color w:val="FFFFFF" w:themeColor="background1"/>
          <w:sz w:val="28"/>
          <w:szCs w:val="28"/>
          <w14:textFill>
            <w14:solidFill>
              <w14:schemeClr w14:val="bg1"/>
            </w14:solidFill>
          </w14:textFill>
        </w:rPr>
      </w:pPr>
      <w:bookmarkStart w:id="46" w:name="_Toc128323142"/>
      <w:bookmarkStart w:id="47" w:name="_Toc140334230"/>
      <w:bookmarkStart w:id="48" w:name="_Toc27122"/>
      <w:r>
        <w:rPr>
          <w:rFonts w:hint="eastAsia" w:ascii="宋体" w:hAnsi="宋体" w:eastAsia="宋体"/>
          <w:color w:val="FFFFFF" w:themeColor="background1"/>
          <w:highlight w:val="darkGray"/>
          <w14:textFill>
            <w14:solidFill>
              <w14:schemeClr w14:val="bg1"/>
            </w14:solidFill>
          </w14:textFill>
        </w:rPr>
        <w:t>税收政策速递</w:t>
      </w:r>
      <w:bookmarkEnd w:id="46"/>
      <w:bookmarkEnd w:id="47"/>
      <w:bookmarkEnd w:id="48"/>
    </w:p>
    <w:p w14:paraId="12C8AA53">
      <w:pPr>
        <w:pStyle w:val="2"/>
        <w:jc w:val="center"/>
        <w:rPr>
          <w:rFonts w:hint="eastAsia" w:ascii="宋体" w:hAnsi="宋体" w:eastAsia="宋体" w:cs="微软雅黑"/>
          <w:color w:val="0070C0"/>
          <w:sz w:val="28"/>
          <w:szCs w:val="28"/>
        </w:rPr>
      </w:pPr>
      <w:bookmarkStart w:id="49" w:name="_Toc27935"/>
      <w:r>
        <w:rPr>
          <w:rFonts w:hint="eastAsia" w:ascii="宋体" w:hAnsi="宋体" w:eastAsia="宋体" w:cs="微软雅黑"/>
          <w:color w:val="0070C0"/>
          <w:sz w:val="28"/>
          <w:szCs w:val="28"/>
        </w:rPr>
        <w:t>关于《国家税务总局关于调整增值税纳税申报有关事项的公告》的解读</w:t>
      </w:r>
      <w:bookmarkEnd w:id="49"/>
    </w:p>
    <w:p w14:paraId="7D0DEA7A">
      <w:pPr>
        <w:shd w:val="clear" w:color="auto" w:fill="FFFFFF"/>
        <w:spacing w:before="240" w:after="240" w:line="540" w:lineRule="atLeast"/>
        <w:ind w:firstLine="480" w:firstLineChars="200"/>
        <w:rPr>
          <w:rFonts w:hint="default"/>
          <w:b w:val="0"/>
          <w:bCs w:val="0"/>
        </w:rPr>
      </w:pPr>
      <w:r>
        <w:rPr>
          <w:rFonts w:hint="eastAsia"/>
          <w:b w:val="0"/>
          <w:bCs w:val="0"/>
        </w:rPr>
        <w:t>为落实《中华人民共和国增值税法》、《中华人民共和国增值税法实施条例》及有关税收政策（简称增值税新政），进一步提升增值税纳税申报服务和管理水平，税务总局制发了《国家税务总局关于调整增值税纳税申报有关事项的公告》（简称《公告》），现解读如下：</w:t>
      </w:r>
    </w:p>
    <w:p w14:paraId="1E8B9543">
      <w:pPr>
        <w:shd w:val="clear" w:color="auto" w:fill="FFFFFF"/>
        <w:spacing w:before="240" w:after="240" w:line="540" w:lineRule="atLeast"/>
        <w:ind w:firstLine="482" w:firstLineChars="200"/>
        <w:rPr>
          <w:rFonts w:hint="eastAsia"/>
          <w:b/>
          <w:bCs/>
        </w:rPr>
      </w:pPr>
      <w:r>
        <w:rPr>
          <w:rFonts w:hint="eastAsia"/>
          <w:b/>
          <w:bCs/>
        </w:rPr>
        <w:t>一、本次增值税纳税申报事项调整的原则是什么？</w:t>
      </w:r>
    </w:p>
    <w:p w14:paraId="18CE21AA">
      <w:pPr>
        <w:shd w:val="clear" w:color="auto" w:fill="FFFFFF"/>
        <w:spacing w:before="240" w:after="240" w:line="540" w:lineRule="atLeast"/>
        <w:ind w:firstLine="480" w:firstLineChars="200"/>
        <w:rPr>
          <w:rFonts w:hint="eastAsia"/>
          <w:b w:val="0"/>
          <w:bCs w:val="0"/>
        </w:rPr>
      </w:pPr>
      <w:r>
        <w:rPr>
          <w:rFonts w:hint="eastAsia"/>
          <w:b w:val="0"/>
          <w:bCs w:val="0"/>
        </w:rPr>
        <w:t>本次增值税纳税申报事项调整的原则：一是维持现行申报表表样不变，尽量避免社会各界对财税软件的改造；二是针对增值税法及实施条例等政策实施后，未发生变化的增值税政策，保持申报表的填报口径不变；三是针对调整的增值税政策，通过调整或扩充现有申报表栏次填报口径，明确增值税新政对应的填报栏次。</w:t>
      </w:r>
    </w:p>
    <w:p w14:paraId="43B57587">
      <w:pPr>
        <w:shd w:val="clear" w:color="auto" w:fill="FFFFFF"/>
        <w:spacing w:before="240" w:after="240" w:line="540" w:lineRule="atLeast"/>
        <w:ind w:firstLine="480" w:firstLineChars="200"/>
        <w:rPr>
          <w:rFonts w:hint="eastAsia"/>
          <w:b w:val="0"/>
          <w:bCs w:val="0"/>
        </w:rPr>
      </w:pPr>
      <w:r>
        <w:rPr>
          <w:rFonts w:hint="eastAsia"/>
          <w:b w:val="0"/>
          <w:bCs w:val="0"/>
        </w:rPr>
        <w:t>按照此思路，我们制发《公告》，在维持表样不变的情况下，仅调整部分栏次的填报要求，使申报表适用自2026年1月起施行的增值税新政。</w:t>
      </w:r>
    </w:p>
    <w:p w14:paraId="59D854D3">
      <w:pPr>
        <w:shd w:val="clear" w:color="auto" w:fill="FFFFFF"/>
        <w:spacing w:before="240" w:after="240" w:line="540" w:lineRule="atLeast"/>
        <w:ind w:firstLine="482" w:firstLineChars="200"/>
        <w:rPr>
          <w:rFonts w:hint="eastAsia"/>
          <w:b/>
          <w:bCs/>
        </w:rPr>
      </w:pPr>
      <w:r>
        <w:rPr>
          <w:rFonts w:hint="eastAsia"/>
          <w:b/>
          <w:bCs/>
        </w:rPr>
        <w:t>二、“劳务”相关项目填写口径有何变化？</w:t>
      </w:r>
    </w:p>
    <w:p w14:paraId="444164F1">
      <w:pPr>
        <w:shd w:val="clear" w:color="auto" w:fill="FFFFFF"/>
        <w:spacing w:before="240" w:after="240" w:line="540" w:lineRule="atLeast"/>
        <w:ind w:firstLine="480" w:firstLineChars="200"/>
        <w:rPr>
          <w:rFonts w:hint="eastAsia"/>
          <w:b w:val="0"/>
          <w:bCs w:val="0"/>
        </w:rPr>
      </w:pPr>
      <w:r>
        <w:rPr>
          <w:rFonts w:hint="eastAsia"/>
          <w:b w:val="0"/>
          <w:bCs w:val="0"/>
        </w:rPr>
        <w:t>增值税新政将原“加工修理修配劳务”调整为“加工修理修配服务”，并入“服务”范畴，为便于纳税人理解政策及准确填写，应税劳务项目填写口径做以下变动：一是调整《增值税及附加税费申报表（一般纳税人适用）》（简称一般纳税人主表）第3栏“应税劳务销售额”的填写口径，纳税人本期按适用税率计算增值税的应税服务（含加工修理修配服务）、无形资产、不动产的销售额填写在本栏。二是调整一般纳税人主表第10栏“免税劳务销售额”填写口径，纳税人本期按照政策规定免征增值税和适用零税率的应税服务（含加工修理修配服务）、无形资产、不动产的销售额填写在本栏，但零税率的销售额中不包括适用免、抵、退税办法的销售额。三是明确《增值税及附加税费申报表附列资料（一）》（简称一般纳税人附列资料（一））“项目及栏次”中，“劳务”是指加工修理修配服务，“服务”不包含加工修理修配服务。四是明确《增值税及附加税费申报表（小规模纳税人适用）》（简称小规模纳税人主表）“本期数”和“本年累计”的“货物及劳务”列中的“劳务”，是指加工修理修配服务，“服务、不动产和无形资产”列中的“服务”不包含加工修理修配服务。</w:t>
      </w:r>
    </w:p>
    <w:p w14:paraId="119852F1">
      <w:pPr>
        <w:shd w:val="clear" w:color="auto" w:fill="FFFFFF"/>
        <w:spacing w:before="240" w:after="240" w:line="540" w:lineRule="atLeast"/>
        <w:ind w:firstLine="480" w:firstLineChars="200"/>
        <w:rPr>
          <w:rFonts w:hint="eastAsia"/>
          <w:b w:val="0"/>
          <w:bCs w:val="0"/>
        </w:rPr>
      </w:pPr>
      <w:r>
        <w:rPr>
          <w:rFonts w:hint="eastAsia"/>
          <w:b w:val="0"/>
          <w:bCs w:val="0"/>
        </w:rPr>
        <w:t>举例说明1：某大型农业技术企业A为按月申报的增值税一般纳税人，2026年2月因提供农机维修服务取得销售额10万元，提供咨询服务取得销售额20万元，提供农业机耕服务取得免税销售额30万元，均开具增值税普通发票。假设当月A未发生其他增值税应税交易，不考虑附加税费。</w:t>
      </w:r>
    </w:p>
    <w:p w14:paraId="37B66D7D">
      <w:pPr>
        <w:shd w:val="clear" w:color="auto" w:fill="FFFFFF"/>
        <w:spacing w:before="240" w:after="240" w:line="540" w:lineRule="atLeast"/>
        <w:ind w:firstLine="480" w:firstLineChars="200"/>
        <w:rPr>
          <w:rFonts w:hint="eastAsia"/>
          <w:b w:val="0"/>
          <w:bCs w:val="0"/>
        </w:rPr>
      </w:pPr>
      <w:r>
        <w:rPr>
          <w:rFonts w:hint="eastAsia"/>
          <w:b w:val="0"/>
          <w:bCs w:val="0"/>
        </w:rPr>
        <w:t>A在办理2月税款所属期增值税纳税申报时，就前述3项销售额、销项税额，分别在一般纳税人附列资料（一）第1行“13%税率的货物及加工修理修配劳务”第3列、第4列填写开具其他发票销售额、销项（应纳）税额100000元、13000元，第5行“6%税率”第3列、第4列填写开具其他发票销售额、销项（应纳）税额200000元、12000元，第19行第3列填写开具其他发票销售额300000元。并在一般纳税人主表第3栏“应税劳务销售额”“一般项目”“本月数”列填写300000元，第10栏“免税劳务销售额”“一般项目”“本月数”列填写300000元。</w:t>
      </w:r>
    </w:p>
    <w:p w14:paraId="7276905F">
      <w:pPr>
        <w:shd w:val="clear" w:color="auto" w:fill="FFFFFF"/>
        <w:spacing w:before="240" w:after="240" w:line="540" w:lineRule="atLeast"/>
        <w:ind w:firstLine="482" w:firstLineChars="200"/>
        <w:rPr>
          <w:rFonts w:hint="eastAsia"/>
          <w:b/>
          <w:bCs/>
        </w:rPr>
      </w:pPr>
      <w:r>
        <w:rPr>
          <w:rFonts w:hint="eastAsia"/>
          <w:b/>
          <w:bCs/>
        </w:rPr>
        <w:t>三、有扣除相关价款的纳税人办理增值税纳税申报时，需要注意哪些填写要点？</w:t>
      </w:r>
    </w:p>
    <w:p w14:paraId="6E70E3BC">
      <w:pPr>
        <w:shd w:val="clear" w:color="auto" w:fill="FFFFFF"/>
        <w:spacing w:before="240" w:after="240" w:line="540" w:lineRule="atLeast"/>
        <w:ind w:firstLine="480" w:firstLineChars="200"/>
        <w:rPr>
          <w:rFonts w:hint="eastAsia"/>
          <w:b w:val="0"/>
          <w:bCs w:val="0"/>
        </w:rPr>
      </w:pPr>
      <w:r>
        <w:rPr>
          <w:rFonts w:hint="eastAsia"/>
          <w:b w:val="0"/>
          <w:bCs w:val="0"/>
        </w:rPr>
        <w:t>按照增值税新政，填写要点包括：一是纳税人发生应税交易，按照扣除相关价款后的余额计算销售额的，仅金融商品转让项目填写扣除情况，一般纳税人填写《增值税及附加税费申报表附列资料（三）》（服务、不动产和无形资产扣除项目明细）（简称一般纳税人附列资料（三）），小规模纳税人填写《增值税及附加税费申报表（小规模纳税人适用）附列资料（一）》（简称小规模纳税人附列资料（一））。二是纳税人发生应税交易，允许从含税销售额中扣除相关价款后计算销项税额或应纳税额的，均应填写扣除情况，一般纳税人填写一般纳税人附列资料（三），小规模纳税人填写小规模纳税人附列资料（一）。</w:t>
      </w:r>
    </w:p>
    <w:p w14:paraId="34F1241B">
      <w:pPr>
        <w:shd w:val="clear" w:color="auto" w:fill="FFFFFF"/>
        <w:spacing w:before="240" w:after="240" w:line="540" w:lineRule="atLeast"/>
        <w:ind w:firstLine="480" w:firstLineChars="200"/>
        <w:rPr>
          <w:rFonts w:hint="eastAsia"/>
          <w:b w:val="0"/>
          <w:bCs w:val="0"/>
        </w:rPr>
      </w:pPr>
      <w:r>
        <w:rPr>
          <w:rFonts w:hint="eastAsia"/>
          <w:b w:val="0"/>
          <w:bCs w:val="0"/>
        </w:rPr>
        <w:t>举例说明2：B公司为按月申报的增值税一般纳税人，2026年2月发生金融商品转让业务，卖出价为840万元，买入价为700万元，本期“6%税率的金融商品转让项目”期初余额10万元，未开具发票。假设B公司本月未发生其他增值税应税交易，不考虑附加税费。</w:t>
      </w:r>
    </w:p>
    <w:p w14:paraId="627D81C5">
      <w:pPr>
        <w:shd w:val="clear" w:color="auto" w:fill="FFFFFF"/>
        <w:spacing w:before="240" w:after="240" w:line="540" w:lineRule="atLeast"/>
        <w:ind w:firstLine="480" w:firstLineChars="200"/>
        <w:rPr>
          <w:rFonts w:hint="eastAsia"/>
          <w:b w:val="0"/>
          <w:bCs w:val="0"/>
        </w:rPr>
      </w:pPr>
      <w:r>
        <w:rPr>
          <w:rFonts w:hint="eastAsia"/>
          <w:b w:val="0"/>
          <w:bCs w:val="0"/>
        </w:rPr>
        <w:t>B公司办理2月税款所属期增值税纳税申报时，填写一般纳税人附列资料（三）第4行“6%税率的金融商品转让项目”，在第1列“本期服务、不动产和无形资产价税合计额（免税销售额）”填写8400000元，在第2列“服务、不动产和无形资产扣除项目”“期初余额”填写100000元，在第3列“服务、不动产和无形资产扣除项目”“本期发生额”填写7000000元，第4列至第6列“服务、不动产和无形资产扣除项目”“本期应扣除金额”“本期实际扣除金额”“期末余额”按表内公式计算填写。按照扣除相关价款后的余额计算的销售额，对应填写一般纳税人附列资料（一）第5行“6%税率”“未开具发票”相关栏次；不填写第12列“服务、不动产和无形资产扣除项目本期实际扣除金额”。</w:t>
      </w:r>
    </w:p>
    <w:p w14:paraId="5703B600">
      <w:pPr>
        <w:shd w:val="clear" w:color="auto" w:fill="FFFFFF"/>
        <w:spacing w:before="240" w:after="240" w:line="540" w:lineRule="atLeast"/>
        <w:ind w:firstLine="482" w:firstLineChars="200"/>
        <w:rPr>
          <w:rFonts w:hint="eastAsia"/>
          <w:b/>
          <w:bCs/>
        </w:rPr>
      </w:pPr>
      <w:r>
        <w:rPr>
          <w:rFonts w:hint="eastAsia"/>
          <w:b/>
          <w:bCs/>
        </w:rPr>
        <w:t>四、适用小规模纳税人起征点政策的纳税人，如何填写未达起征点的免税销售额和免税额？</w:t>
      </w:r>
    </w:p>
    <w:p w14:paraId="3DEAFBAD">
      <w:pPr>
        <w:shd w:val="clear" w:color="auto" w:fill="FFFFFF"/>
        <w:spacing w:before="240" w:after="240" w:line="540" w:lineRule="atLeast"/>
        <w:ind w:firstLine="480" w:firstLineChars="200"/>
        <w:rPr>
          <w:rFonts w:hint="eastAsia"/>
          <w:b w:val="0"/>
          <w:bCs w:val="0"/>
        </w:rPr>
      </w:pPr>
      <w:r>
        <w:rPr>
          <w:rFonts w:hint="eastAsia"/>
          <w:b w:val="0"/>
          <w:bCs w:val="0"/>
        </w:rPr>
        <w:t>为落实增值税新政，明确未达起征点免税销售额和免税额填写口径。一是调整小规模纳税人主表第10栏“其中：小微企业免税销售额”和第18栏“其中：小微企业免税额”的填写说明，由除个体工商户和自然人外的纳税人填写本期未达起征点的免税销售额和免税额，免税额根据第10栏“小微企业免税销售额”和征收率（3%）计算。二是调整小规模纳税人主表第11栏“未达起征点销售额”和第19栏“未达起征点免税额”的填写说明，由个体工商户和自然人填写未达起征点的免税销售额和免税额，免税额根据第11栏“未达起征点销售额”和征收率（3%）计算。</w:t>
      </w:r>
    </w:p>
    <w:p w14:paraId="574FD979">
      <w:pPr>
        <w:shd w:val="clear" w:color="auto" w:fill="FFFFFF"/>
        <w:spacing w:before="240" w:after="240" w:line="540" w:lineRule="atLeast"/>
        <w:ind w:firstLine="480" w:firstLineChars="200"/>
        <w:rPr>
          <w:rFonts w:hint="eastAsia"/>
          <w:b w:val="0"/>
          <w:bCs w:val="0"/>
        </w:rPr>
      </w:pPr>
      <w:r>
        <w:rPr>
          <w:rFonts w:hint="eastAsia"/>
          <w:b w:val="0"/>
          <w:bCs w:val="0"/>
        </w:rPr>
        <w:t>举例说明3：某纺纱厂C，是按季度申报的增值税小规模纳税人。2026年一季度，C销售纱线实现销售额29万元。假设C在一季度未发生其他增值税应税交易，不考虑附加税费。</w:t>
      </w:r>
    </w:p>
    <w:p w14:paraId="4BE0E63D">
      <w:pPr>
        <w:shd w:val="clear" w:color="auto" w:fill="FFFFFF"/>
        <w:spacing w:before="240" w:after="240" w:line="540" w:lineRule="atLeast"/>
        <w:ind w:firstLine="480" w:firstLineChars="200"/>
        <w:rPr>
          <w:rFonts w:hint="eastAsia"/>
          <w:b w:val="0"/>
          <w:bCs w:val="0"/>
        </w:rPr>
      </w:pPr>
      <w:r>
        <w:rPr>
          <w:rFonts w:hint="eastAsia"/>
          <w:b w:val="0"/>
          <w:bCs w:val="0"/>
        </w:rPr>
        <w:t>C办理一季度税款所属期增值税纳税申报时，在小规模纳税人主表第10栏“其中：小微企业免税销售额”和第18栏“其中：小微企业免税额”的“本期数”“货物和劳务”列分别填写290000元、8700元。</w:t>
      </w:r>
    </w:p>
    <w:p w14:paraId="0FD9FEC9">
      <w:pPr>
        <w:shd w:val="clear" w:color="auto" w:fill="FFFFFF"/>
        <w:spacing w:before="240" w:after="240" w:line="540" w:lineRule="atLeast"/>
        <w:ind w:firstLine="480" w:firstLineChars="200"/>
        <w:rPr>
          <w:rFonts w:hint="eastAsia"/>
          <w:b w:val="0"/>
          <w:bCs w:val="0"/>
        </w:rPr>
      </w:pPr>
      <w:r>
        <w:rPr>
          <w:rFonts w:hint="eastAsia"/>
          <w:b w:val="0"/>
          <w:bCs w:val="0"/>
        </w:rPr>
        <w:t>举例说明4：从事小商品销售的个体工商户D，是按季度申报的增值税小规模纳税人，2026年一季度实现销售额16万元。假设D在一季度未发生其他增值税应税交易，不考虑附加税费。</w:t>
      </w:r>
    </w:p>
    <w:p w14:paraId="273088E5">
      <w:pPr>
        <w:shd w:val="clear" w:color="auto" w:fill="FFFFFF"/>
        <w:spacing w:before="240" w:after="240" w:line="540" w:lineRule="atLeast"/>
        <w:ind w:firstLine="480" w:firstLineChars="200"/>
        <w:rPr>
          <w:rFonts w:hint="eastAsia"/>
          <w:b w:val="0"/>
          <w:bCs w:val="0"/>
        </w:rPr>
      </w:pPr>
      <w:r>
        <w:rPr>
          <w:rFonts w:hint="eastAsia"/>
          <w:b w:val="0"/>
          <w:bCs w:val="0"/>
        </w:rPr>
        <w:t>D办理一季度税款所属期增值税纳税申报时，在小规模纳税人主表第11栏“未达起征点销售额”和第19栏“未达起征点免税额”的“本期数”“货物和劳务”列分别填写160000元、4800元。</w:t>
      </w:r>
    </w:p>
    <w:p w14:paraId="052E219E">
      <w:pPr>
        <w:shd w:val="clear" w:color="auto" w:fill="FFFFFF"/>
        <w:spacing w:before="240" w:after="240" w:line="540" w:lineRule="atLeast"/>
        <w:ind w:firstLine="482" w:firstLineChars="200"/>
        <w:rPr>
          <w:rFonts w:hint="eastAsia"/>
          <w:b/>
          <w:bCs/>
        </w:rPr>
      </w:pPr>
      <w:r>
        <w:rPr>
          <w:rFonts w:hint="eastAsia"/>
          <w:b/>
          <w:bCs/>
        </w:rPr>
        <w:t>五、进项税额抵扣相关政策对应填写口径有哪些调整？</w:t>
      </w:r>
    </w:p>
    <w:p w14:paraId="56725FB6">
      <w:pPr>
        <w:shd w:val="clear" w:color="auto" w:fill="FFFFFF"/>
        <w:spacing w:before="240" w:after="240" w:line="540" w:lineRule="atLeast"/>
        <w:ind w:firstLine="480" w:firstLineChars="200"/>
        <w:rPr>
          <w:rFonts w:hint="eastAsia"/>
          <w:b w:val="0"/>
          <w:bCs w:val="0"/>
        </w:rPr>
      </w:pPr>
      <w:r>
        <w:rPr>
          <w:rFonts w:hint="eastAsia"/>
          <w:b w:val="0"/>
          <w:bCs w:val="0"/>
        </w:rPr>
        <w:t>为落实增值税新政有关进项税额抵扣的规定，拓展进项税额明细表两个“其他”栏次填写内容。一是补充一般纳税人附列资料（二）第8b栏“其他”的填写口径，纳税人本期从上海黄金交易所、上海期货交易所购进标准黄金取得带有“会员单位非投资性黄金”、“客户标准黄金”字样的普通发票，其金额和按规定计算的税额，在该栏次填写。二是补充一般纳税人附列资料（二）第23b栏“其他应作进项税额转出的情形”的填写口径，纳税人用于不得抵扣非应税交易项目、年度清算调整、长期资产不得抵扣的进项税额，按照增值税新政有关规定应在本期转出时在该栏次填写。</w:t>
      </w:r>
    </w:p>
    <w:p w14:paraId="5806ADA5">
      <w:pPr>
        <w:shd w:val="clear" w:color="auto" w:fill="FFFFFF"/>
        <w:spacing w:before="240" w:after="240" w:line="540" w:lineRule="atLeast"/>
        <w:ind w:firstLine="480" w:firstLineChars="200"/>
        <w:rPr>
          <w:rFonts w:hint="eastAsia"/>
          <w:b w:val="0"/>
          <w:bCs w:val="0"/>
        </w:rPr>
      </w:pPr>
      <w:r>
        <w:rPr>
          <w:rFonts w:hint="eastAsia"/>
          <w:b w:val="0"/>
          <w:bCs w:val="0"/>
        </w:rPr>
        <w:t>举例说明5：某上海黄金交易所会员单位E，为按月申报的增值税一般纳税人。2026年3月取得上海黄金交易所开具的带有“会员单位非投资性黄金”字样的普通发票1份，金额10万元。同时本期存在用于不得抵扣非应税交易项目购进金额8万元，对应的进项税额1.04万元。</w:t>
      </w:r>
    </w:p>
    <w:p w14:paraId="43D110CE">
      <w:pPr>
        <w:shd w:val="clear" w:color="auto" w:fill="FFFFFF"/>
        <w:spacing w:before="240" w:after="240" w:line="540" w:lineRule="atLeast"/>
        <w:ind w:firstLine="480" w:firstLineChars="200"/>
        <w:rPr>
          <w:rFonts w:hint="eastAsia"/>
          <w:b w:val="0"/>
          <w:bCs w:val="0"/>
        </w:rPr>
      </w:pPr>
      <w:r>
        <w:rPr>
          <w:rFonts w:hint="eastAsia"/>
          <w:b w:val="0"/>
          <w:bCs w:val="0"/>
        </w:rPr>
        <w:t>E办理3月税款所属期增值税纳税申报时，在一般纳税人附列资料（二）第8b栏“其他”填写份数1份，金额100000元、税额6000元，并在第23b栏“其他应作进项税额转出的情形”填写税额10400元。</w:t>
      </w:r>
    </w:p>
    <w:p w14:paraId="26102388">
      <w:pPr>
        <w:shd w:val="clear" w:color="auto" w:fill="FFFFFF"/>
        <w:spacing w:before="240" w:after="240" w:line="540" w:lineRule="atLeast"/>
        <w:ind w:firstLine="482" w:firstLineChars="200"/>
        <w:rPr>
          <w:rFonts w:hint="eastAsia"/>
          <w:b/>
          <w:bCs/>
        </w:rPr>
      </w:pPr>
      <w:r>
        <w:rPr>
          <w:rFonts w:hint="eastAsia"/>
          <w:b/>
          <w:bCs/>
        </w:rPr>
        <w:t>六、油气田企业预缴增值税新增哪些申报内容？</w:t>
      </w:r>
    </w:p>
    <w:p w14:paraId="7D1D1813">
      <w:pPr>
        <w:shd w:val="clear" w:color="auto" w:fill="FFFFFF"/>
        <w:spacing w:before="240" w:after="240" w:line="540" w:lineRule="atLeast"/>
        <w:ind w:firstLine="480" w:firstLineChars="200"/>
        <w:rPr>
          <w:rFonts w:hint="eastAsia"/>
          <w:b w:val="0"/>
          <w:bCs w:val="0"/>
        </w:rPr>
      </w:pPr>
      <w:r>
        <w:rPr>
          <w:rFonts w:hint="eastAsia"/>
          <w:b w:val="0"/>
          <w:bCs w:val="0"/>
        </w:rPr>
        <w:t>《公告》明确：一是在《增值税及附加税费预缴表》“预征项目和栏次”第4栏，增设“生产生活服务”项目，供油气田企业跨省、自治区、直辖市提供与生产原油、天然气相关的服务预缴增值税时填写。二是补充《增值税及附加税费预缴表》及其附列资料填写说明，对应增加“销售额”“扣除金额”“预征率”“预征税额”的填写说明。三是补充一般纳税人主表第28栏“①分次预缴税额”的填写口径，油气田企业按该规定预缴的增值税，可以从本期增值税应纳税额中抵减，并按当期实际可抵减数填入第28栏，不足抵减部分结转下期继续抵减。</w:t>
      </w:r>
    </w:p>
    <w:p w14:paraId="7AB01BE7">
      <w:pPr>
        <w:shd w:val="clear" w:color="auto" w:fill="FFFFFF"/>
        <w:spacing w:before="240" w:after="240" w:line="540" w:lineRule="atLeast"/>
        <w:ind w:firstLine="480" w:firstLineChars="200"/>
        <w:rPr>
          <w:rFonts w:hint="eastAsia"/>
          <w:b w:val="0"/>
          <w:bCs w:val="0"/>
        </w:rPr>
      </w:pPr>
      <w:r>
        <w:rPr>
          <w:rFonts w:hint="eastAsia"/>
          <w:b w:val="0"/>
          <w:bCs w:val="0"/>
        </w:rPr>
        <w:t>举例说明6：北京市某油气田企业F为一般纳税人，2026年4月中旬在四川某地提供与生产原油、天然气相关的技术、咨询服务，取得全部含税价款1060万元，纳税人在5月纳税申报期结束前预缴税款。</w:t>
      </w:r>
    </w:p>
    <w:p w14:paraId="4A5DBF8B">
      <w:pPr>
        <w:shd w:val="clear" w:color="auto" w:fill="FFFFFF"/>
        <w:spacing w:before="240" w:after="240" w:line="540" w:lineRule="atLeast"/>
        <w:ind w:firstLine="480" w:firstLineChars="200"/>
        <w:rPr>
          <w:rFonts w:hint="eastAsia"/>
          <w:b w:val="0"/>
          <w:bCs w:val="0"/>
        </w:rPr>
      </w:pPr>
      <w:r>
        <w:rPr>
          <w:rFonts w:hint="eastAsia"/>
          <w:b w:val="0"/>
          <w:bCs w:val="0"/>
        </w:rPr>
        <w:t>F在预缴税款时，《增值税及附加税费预缴表》第4栏“生产生活服务”第1列“销售额”填写10600000元、第3列“预征率”填写3%、第4列“预征税额”填写300000元。纳税人在办理4月税款所属期增值税纳税申报时，可以在一般纳税人主表第28栏“①分次预缴税额”填写300000元用于抵减本期增值税应纳税额。</w:t>
      </w:r>
    </w:p>
    <w:p w14:paraId="4626DC5E">
      <w:pPr>
        <w:pStyle w:val="4"/>
        <w:keepNext w:val="0"/>
        <w:keepLines w:val="0"/>
        <w:widowControl/>
        <w:suppressLineNumbers w:val="0"/>
        <w:pBdr>
          <w:top w:val="none" w:color="auto" w:sz="0" w:space="0"/>
          <w:left w:val="none" w:color="auto" w:sz="0" w:space="0"/>
          <w:bottom w:val="single" w:color="454545" w:sz="6" w:space="7"/>
          <w:right w:val="none" w:color="auto" w:sz="0" w:space="0"/>
        </w:pBdr>
        <w:shd w:val="clear" w:fill="FFFFFF"/>
        <w:spacing w:before="0" w:beforeAutospacing="0" w:after="0" w:afterAutospacing="0" w:line="900" w:lineRule="atLeast"/>
        <w:ind w:left="0" w:right="0" w:firstLine="0"/>
        <w:jc w:val="center"/>
        <w:rPr>
          <w:rFonts w:ascii="微软雅黑" w:hAnsi="微软雅黑" w:eastAsia="微软雅黑" w:cs="微软雅黑"/>
          <w:b/>
          <w:bCs/>
          <w:i w:val="0"/>
          <w:iCs w:val="0"/>
          <w:caps w:val="0"/>
          <w:color w:val="323534"/>
          <w:spacing w:val="0"/>
          <w:sz w:val="28"/>
          <w:szCs w:val="28"/>
        </w:rPr>
      </w:pPr>
      <w:bookmarkStart w:id="50" w:name="_Toc27437"/>
      <w:bookmarkStart w:id="51" w:name="_Toc3821"/>
      <w:r>
        <w:rPr>
          <w:rFonts w:hint="eastAsia" w:ascii="微软雅黑" w:hAnsi="微软雅黑" w:eastAsia="微软雅黑" w:cs="微软雅黑"/>
          <w:b/>
          <w:bCs/>
          <w:i w:val="0"/>
          <w:iCs w:val="0"/>
          <w:caps w:val="0"/>
          <w:color w:val="323534"/>
          <w:spacing w:val="0"/>
          <w:sz w:val="28"/>
          <w:szCs w:val="28"/>
          <w:shd w:val="clear" w:fill="FFFFFF"/>
        </w:rPr>
        <w:t>国家税务总局关于调整增值税纳税申报有关事项的公告</w:t>
      </w:r>
      <w:bookmarkEnd w:id="50"/>
      <w:bookmarkEnd w:id="51"/>
    </w:p>
    <w:p w14:paraId="32199B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226" w:afterAutospacing="0"/>
        <w:ind w:left="0" w:right="0"/>
        <w:jc w:val="center"/>
        <w:rPr>
          <w:b w:val="0"/>
          <w:bCs w:val="0"/>
          <w:color w:val="DF0000"/>
          <w:sz w:val="24"/>
          <w:szCs w:val="24"/>
        </w:rPr>
      </w:pPr>
      <w:r>
        <w:rPr>
          <w:b w:val="0"/>
          <w:bCs w:val="0"/>
          <w:i w:val="0"/>
          <w:iCs w:val="0"/>
          <w:caps w:val="0"/>
          <w:color w:val="DF0000"/>
          <w:spacing w:val="0"/>
          <w:sz w:val="24"/>
          <w:szCs w:val="24"/>
          <w:shd w:val="clear" w:fill="FFFFFF"/>
        </w:rPr>
        <w:t>国家税务总局公告2026年第6号</w:t>
      </w:r>
    </w:p>
    <w:p w14:paraId="0D79FE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ind w:left="0" w:right="0" w:firstLine="0"/>
        <w:jc w:val="left"/>
        <w:rPr>
          <w:rFonts w:hint="eastAsia" w:ascii="微软雅黑" w:hAnsi="微软雅黑" w:eastAsia="微软雅黑" w:cs="微软雅黑"/>
          <w:i w:val="0"/>
          <w:iCs w:val="0"/>
          <w:caps w:val="0"/>
          <w:color w:val="333333"/>
          <w:spacing w:val="0"/>
          <w:sz w:val="27"/>
          <w:szCs w:val="27"/>
        </w:rPr>
      </w:pPr>
      <w:r>
        <w:rPr>
          <w:rFonts w:ascii="socialshare" w:hAnsi="socialshare" w:eastAsia="socialshare" w:cs="socialshare"/>
          <w:i w:val="0"/>
          <w:iCs w:val="0"/>
          <w:caps w:val="0"/>
          <w:color w:val="7BC549"/>
          <w:spacing w:val="0"/>
          <w:kern w:val="0"/>
          <w:sz w:val="27"/>
          <w:szCs w:val="27"/>
          <w:u w:val="none"/>
          <w:bdr w:val="single" w:color="7BC549" w:sz="6" w:space="0"/>
          <w:shd w:val="clear" w:fill="FFFFFF"/>
          <w:lang w:val="en-US" w:eastAsia="zh-CN" w:bidi="ar"/>
        </w:rPr>
        <w:fldChar w:fldCharType="begin"/>
      </w:r>
      <w:r>
        <w:rPr>
          <w:rFonts w:ascii="socialshare" w:hAnsi="socialshare" w:eastAsia="socialshare" w:cs="socialshare"/>
          <w:i w:val="0"/>
          <w:iCs w:val="0"/>
          <w:caps w:val="0"/>
          <w:color w:val="7BC549"/>
          <w:spacing w:val="0"/>
          <w:kern w:val="0"/>
          <w:sz w:val="27"/>
          <w:szCs w:val="27"/>
          <w:u w:val="none"/>
          <w:bdr w:val="single" w:color="7BC549" w:sz="6" w:space="0"/>
          <w:shd w:val="clear" w:fill="FFFFFF"/>
          <w:lang w:val="en-US" w:eastAsia="zh-CN" w:bidi="ar"/>
        </w:rPr>
        <w:instrText xml:space="preserve"> HYPERLINK "javascript:;" </w:instrText>
      </w:r>
      <w:r>
        <w:rPr>
          <w:rFonts w:ascii="socialshare" w:hAnsi="socialshare" w:eastAsia="socialshare" w:cs="socialshare"/>
          <w:i w:val="0"/>
          <w:iCs w:val="0"/>
          <w:caps w:val="0"/>
          <w:color w:val="7BC549"/>
          <w:spacing w:val="0"/>
          <w:kern w:val="0"/>
          <w:sz w:val="27"/>
          <w:szCs w:val="27"/>
          <w:u w:val="none"/>
          <w:bdr w:val="single" w:color="7BC549" w:sz="6" w:space="0"/>
          <w:shd w:val="clear" w:fill="FFFFFF"/>
          <w:lang w:val="en-US" w:eastAsia="zh-CN" w:bidi="ar"/>
        </w:rPr>
        <w:fldChar w:fldCharType="separate"/>
      </w:r>
      <w:r>
        <w:rPr>
          <w:rFonts w:hint="default" w:ascii="socialshare" w:hAnsi="socialshare" w:eastAsia="socialshare" w:cs="socialshare"/>
          <w:i w:val="0"/>
          <w:iCs w:val="0"/>
          <w:caps w:val="0"/>
          <w:color w:val="7BC549"/>
          <w:spacing w:val="0"/>
          <w:kern w:val="0"/>
          <w:sz w:val="27"/>
          <w:szCs w:val="27"/>
          <w:u w:val="none"/>
          <w:bdr w:val="single" w:color="7BC549" w:sz="6" w:space="0"/>
          <w:shd w:val="clear" w:fill="FFFFFF"/>
          <w:lang w:val="en-US" w:eastAsia="zh-CN" w:bidi="ar"/>
        </w:rPr>
        <w:fldChar w:fldCharType="end"/>
      </w:r>
      <w:r>
        <w:rPr>
          <w:rFonts w:hint="default" w:ascii="socialshare" w:hAnsi="socialshare" w:eastAsia="socialshare" w:cs="socialshare"/>
          <w:i w:val="0"/>
          <w:iCs w:val="0"/>
          <w:caps w:val="0"/>
          <w:color w:val="FF763B"/>
          <w:spacing w:val="0"/>
          <w:kern w:val="0"/>
          <w:sz w:val="27"/>
          <w:szCs w:val="27"/>
          <w:u w:val="none"/>
          <w:bdr w:val="single" w:color="FF763B" w:sz="6" w:space="0"/>
          <w:shd w:val="clear" w:fill="FFFFFF"/>
          <w:lang w:val="en-US" w:eastAsia="zh-CN" w:bidi="ar"/>
        </w:rPr>
        <w:fldChar w:fldCharType="begin"/>
      </w:r>
      <w:r>
        <w:rPr>
          <w:rFonts w:hint="default" w:ascii="socialshare" w:hAnsi="socialshare" w:eastAsia="socialshare" w:cs="socialshare"/>
          <w:i w:val="0"/>
          <w:iCs w:val="0"/>
          <w:caps w:val="0"/>
          <w:color w:val="FF763B"/>
          <w:spacing w:val="0"/>
          <w:kern w:val="0"/>
          <w:sz w:val="27"/>
          <w:szCs w:val="27"/>
          <w:u w:val="none"/>
          <w:bdr w:val="single" w:color="FF763B" w:sz="6" w:space="0"/>
          <w:shd w:val="clear" w:fill="FFFFFF"/>
          <w:lang w:val="en-US" w:eastAsia="zh-CN" w:bidi="ar"/>
        </w:rPr>
        <w:instrText xml:space="preserve"> HYPERLINK "https://service.weibo.com/share/share.php?url=https://fgk.chinatax.gov.cn/zcfgk/c100012/c5247507/content.html&amp;title=%E5%9B%BD%E5%AE%B6%E7%A8%8E%E5%8A%A1%E6%80%BB%E5%B1%80%E6%94%BF%E7%AD%96%E6%B3%95%E8%A7%84%E5%BA%93&amp;pic=https://fgk.chinatax.gov.cn/zcfgk/xhtml/images/ENbox_sy.png&amp;appkey=" \t "https://fgk.chinatax.gov.cn/zcfgk/c100012/c5247507/_blank" </w:instrText>
      </w:r>
      <w:r>
        <w:rPr>
          <w:rFonts w:hint="default" w:ascii="socialshare" w:hAnsi="socialshare" w:eastAsia="socialshare" w:cs="socialshare"/>
          <w:i w:val="0"/>
          <w:iCs w:val="0"/>
          <w:caps w:val="0"/>
          <w:color w:val="FF763B"/>
          <w:spacing w:val="0"/>
          <w:kern w:val="0"/>
          <w:sz w:val="27"/>
          <w:szCs w:val="27"/>
          <w:u w:val="none"/>
          <w:bdr w:val="single" w:color="FF763B" w:sz="6" w:space="0"/>
          <w:shd w:val="clear" w:fill="FFFFFF"/>
          <w:lang w:val="en-US" w:eastAsia="zh-CN" w:bidi="ar"/>
        </w:rPr>
        <w:fldChar w:fldCharType="separate"/>
      </w:r>
      <w:r>
        <w:rPr>
          <w:rFonts w:hint="default" w:ascii="socialshare" w:hAnsi="socialshare" w:eastAsia="socialshare" w:cs="socialshare"/>
          <w:i w:val="0"/>
          <w:iCs w:val="0"/>
          <w:caps w:val="0"/>
          <w:color w:val="FF763B"/>
          <w:spacing w:val="0"/>
          <w:kern w:val="0"/>
          <w:sz w:val="27"/>
          <w:szCs w:val="27"/>
          <w:u w:val="none"/>
          <w:bdr w:val="single" w:color="FF763B" w:sz="6" w:space="0"/>
          <w:shd w:val="clear" w:fill="FFFFFF"/>
          <w:lang w:val="en-US" w:eastAsia="zh-CN" w:bidi="ar"/>
        </w:rPr>
        <w:fldChar w:fldCharType="end"/>
      </w:r>
    </w:p>
    <w:p w14:paraId="38AC5FD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 </w:t>
      </w:r>
      <w:r>
        <w:rPr>
          <w:rStyle w:val="56"/>
          <w:rFonts w:hint="eastAsia" w:ascii="宋体" w:hAnsi="宋体" w:eastAsia="宋体" w:cs="宋体"/>
          <w:i w:val="0"/>
          <w:iCs w:val="0"/>
          <w:caps w:val="0"/>
          <w:color w:val="333333"/>
          <w:spacing w:val="0"/>
          <w:sz w:val="24"/>
          <w:szCs w:val="24"/>
          <w:shd w:val="clear" w:fill="FFFFFF"/>
        </w:rPr>
        <w:t>成文日期：2026-02-01</w:t>
      </w:r>
    </w:p>
    <w:p w14:paraId="43036D1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为落实《中华人民共和国增值税法》、《中华人民共和国增值税法实施条例》及有关税收政策，进一步提升增值税纳税申报服务和管理水平，现将增值税纳税申报有关事项公告如下：</w:t>
      </w:r>
    </w:p>
    <w:p w14:paraId="6D76E71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一、调整《增值税及附加税费申报表（一般纳税人适用）》及其附列资料、《增值税及附加税费申报表（小规模纳税人适用）》及其附列资料、《增值税及附加税费预缴表》及其附列资料部分栏次的填报要求（详见附件1、附件2和附件3）。</w:t>
      </w:r>
    </w:p>
    <w:p w14:paraId="7755DAB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二、增值税纳税人暂使用《增值税及附加税费申报表（一般纳税人适用）》及其附列资料、《增值税及附加税费申报表（小规模纳税人适用）》及其附列资料、《增值税及附加税费预缴表》及其附列资料，办理增值税及附加税费申报，有关栏次按本公告调整后的填报要求填写。</w:t>
      </w:r>
    </w:p>
    <w:p w14:paraId="7FF97C0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三、本公告自2026年2月1日起施行，另有规定的除外。</w:t>
      </w:r>
    </w:p>
    <w:p w14:paraId="0298D25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特此公告。</w:t>
      </w:r>
    </w:p>
    <w:p w14:paraId="6370D79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0" w:afterAutospacing="0" w:line="240" w:lineRule="auto"/>
        <w:ind w:left="0" w:right="0" w:firstLine="480" w:firstLineChars="200"/>
        <w:jc w:val="left"/>
        <w:textAlignment w:val="auto"/>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附件：1.</w:t>
      </w:r>
      <w:r>
        <w:rPr>
          <w:rFonts w:hint="eastAsia" w:ascii="宋体" w:hAnsi="宋体" w:eastAsia="宋体" w:cs="宋体"/>
          <w:i w:val="0"/>
          <w:iCs w:val="0"/>
          <w:caps w:val="0"/>
          <w:color w:val="0050AC"/>
          <w:spacing w:val="0"/>
          <w:sz w:val="24"/>
          <w:szCs w:val="24"/>
          <w:u w:val="none"/>
          <w:shd w:val="clear" w:fill="FFFFFF"/>
        </w:rPr>
        <w:fldChar w:fldCharType="begin"/>
      </w:r>
      <w:r>
        <w:rPr>
          <w:rFonts w:hint="eastAsia" w:ascii="宋体" w:hAnsi="宋体" w:eastAsia="宋体" w:cs="宋体"/>
          <w:i w:val="0"/>
          <w:iCs w:val="0"/>
          <w:caps w:val="0"/>
          <w:color w:val="0050AC"/>
          <w:spacing w:val="0"/>
          <w:sz w:val="24"/>
          <w:szCs w:val="24"/>
          <w:u w:val="none"/>
          <w:shd w:val="clear" w:fill="FFFFFF"/>
        </w:rPr>
        <w:instrText xml:space="preserve"> HYPERLINK "https://fgk.chinatax.gov.cn/zcfgk/c100012/c5247507/5247507/files/%E3%80%8A%E5%A2%9E%E5%80%BC%E7%A8%8E%E5%8F%8A%E9%99%84%E5%8A%A0%E7%A8%8E%E8%B4%B9%E7%94%B3%E6%8A%A5%E8%A1%A8%EF%BC%88%E4%B8%80%E8%88%AC%E7%BA%B3%E7%A8%8E%E4%BA%BA%E9%80%82%E7%94%A8%EF%BC%89%E3%80%8B%E5%8F%8A%E5%85%B6%E9%99%84%E5%88%97%E8%B5%84%E6%96%99%E9%83%A8%E5%88%86%E6%A0%8F%E6%AC%A1%E5%A1%AB%E6%8A%A5%E8%A6%81%E6%B1%82%E8%B0%83%E6%95%B4.doc" \t "https://fgk.chinatax.gov.cn/zcfgk/c100012/c5247507/_blank" </w:instrText>
      </w:r>
      <w:r>
        <w:rPr>
          <w:rFonts w:hint="eastAsia" w:ascii="宋体" w:hAnsi="宋体" w:eastAsia="宋体" w:cs="宋体"/>
          <w:i w:val="0"/>
          <w:iCs w:val="0"/>
          <w:caps w:val="0"/>
          <w:color w:val="0050AC"/>
          <w:spacing w:val="0"/>
          <w:sz w:val="24"/>
          <w:szCs w:val="24"/>
          <w:u w:val="none"/>
          <w:shd w:val="clear" w:fill="FFFFFF"/>
        </w:rPr>
        <w:fldChar w:fldCharType="separate"/>
      </w:r>
      <w:r>
        <w:rPr>
          <w:rStyle w:val="27"/>
          <w:rFonts w:hint="eastAsia" w:ascii="宋体" w:hAnsi="宋体" w:eastAsia="宋体" w:cs="宋体"/>
          <w:i w:val="0"/>
          <w:iCs w:val="0"/>
          <w:caps w:val="0"/>
          <w:color w:val="0050AC"/>
          <w:spacing w:val="0"/>
          <w:sz w:val="24"/>
          <w:szCs w:val="24"/>
          <w:u w:val="none"/>
          <w:shd w:val="clear" w:fill="FFFFFF"/>
        </w:rPr>
        <w:t>《增值税及附加税费申报表（一般纳税人适用）》及其附列资料部分栏次填报要求调整.doc</w:t>
      </w:r>
      <w:r>
        <w:rPr>
          <w:rFonts w:hint="eastAsia" w:ascii="宋体" w:hAnsi="宋体" w:eastAsia="宋体" w:cs="宋体"/>
          <w:i w:val="0"/>
          <w:iCs w:val="0"/>
          <w:caps w:val="0"/>
          <w:color w:val="0050AC"/>
          <w:spacing w:val="0"/>
          <w:sz w:val="24"/>
          <w:szCs w:val="24"/>
          <w:u w:val="none"/>
          <w:shd w:val="clear" w:fill="FFFFFF"/>
        </w:rPr>
        <w:fldChar w:fldCharType="end"/>
      </w:r>
    </w:p>
    <w:p w14:paraId="5017750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0" w:afterAutospacing="0" w:line="240" w:lineRule="auto"/>
        <w:ind w:left="0" w:right="0" w:firstLine="480" w:firstLineChars="200"/>
        <w:jc w:val="left"/>
        <w:textAlignment w:val="auto"/>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2.</w:t>
      </w:r>
      <w:r>
        <w:rPr>
          <w:rFonts w:hint="eastAsia" w:ascii="宋体" w:hAnsi="宋体" w:eastAsia="宋体" w:cs="宋体"/>
          <w:i w:val="0"/>
          <w:iCs w:val="0"/>
          <w:caps w:val="0"/>
          <w:color w:val="0050AC"/>
          <w:spacing w:val="0"/>
          <w:sz w:val="24"/>
          <w:szCs w:val="24"/>
          <w:u w:val="none"/>
          <w:shd w:val="clear" w:fill="FFFFFF"/>
        </w:rPr>
        <w:fldChar w:fldCharType="begin"/>
      </w:r>
      <w:r>
        <w:rPr>
          <w:rFonts w:hint="eastAsia" w:ascii="宋体" w:hAnsi="宋体" w:eastAsia="宋体" w:cs="宋体"/>
          <w:i w:val="0"/>
          <w:iCs w:val="0"/>
          <w:caps w:val="0"/>
          <w:color w:val="0050AC"/>
          <w:spacing w:val="0"/>
          <w:sz w:val="24"/>
          <w:szCs w:val="24"/>
          <w:u w:val="none"/>
          <w:shd w:val="clear" w:fill="FFFFFF"/>
        </w:rPr>
        <w:instrText xml:space="preserve"> HYPERLINK "https://fgk.chinatax.gov.cn/zcfgk/c100012/c5247507/5247507/files/%E3%80%8A%E5%A2%9E%E5%80%BC%E7%A8%8E%E5%8F%8A%E9%99%84%E5%8A%A0%E7%A8%8E%E8%B4%B9%E7%94%B3%E6%8A%A5%E8%A1%A8%EF%BC%88%E5%B0%8F%E8%A7%84%E6%A8%A1%E7%BA%B3%E7%A8%8E%E4%BA%BA%E9%80%82%E7%94%A8%EF%BC%89%E3%80%8B%E5%8F%8A%E5%85%B6%E9%99%84%E5%88%97%E8%B5%84%E6%96%99%E9%83%A8%E5%88%86%E6%A0%8F%E6%AC%A1%E5%A1%AB%E6%8A%A5%E8%A6%81%E6%B1%82%E8%B0%83%E6%95%B4.doc" \t "https://fgk.chinatax.gov.cn/zcfgk/c100012/c5247507/_blank" </w:instrText>
      </w:r>
      <w:r>
        <w:rPr>
          <w:rFonts w:hint="eastAsia" w:ascii="宋体" w:hAnsi="宋体" w:eastAsia="宋体" w:cs="宋体"/>
          <w:i w:val="0"/>
          <w:iCs w:val="0"/>
          <w:caps w:val="0"/>
          <w:color w:val="0050AC"/>
          <w:spacing w:val="0"/>
          <w:sz w:val="24"/>
          <w:szCs w:val="24"/>
          <w:u w:val="none"/>
          <w:shd w:val="clear" w:fill="FFFFFF"/>
        </w:rPr>
        <w:fldChar w:fldCharType="separate"/>
      </w:r>
      <w:r>
        <w:rPr>
          <w:rStyle w:val="27"/>
          <w:rFonts w:hint="eastAsia" w:ascii="宋体" w:hAnsi="宋体" w:eastAsia="宋体" w:cs="宋体"/>
          <w:i w:val="0"/>
          <w:iCs w:val="0"/>
          <w:caps w:val="0"/>
          <w:color w:val="0050AC"/>
          <w:spacing w:val="0"/>
          <w:sz w:val="24"/>
          <w:szCs w:val="24"/>
          <w:u w:val="none"/>
          <w:shd w:val="clear" w:fill="FFFFFF"/>
        </w:rPr>
        <w:t>《增值税及附加税费申报表（小规模纳税人适用）》及其附列资料部分栏次填报要求调整.doc</w:t>
      </w:r>
      <w:r>
        <w:rPr>
          <w:rFonts w:hint="eastAsia" w:ascii="宋体" w:hAnsi="宋体" w:eastAsia="宋体" w:cs="宋体"/>
          <w:i w:val="0"/>
          <w:iCs w:val="0"/>
          <w:caps w:val="0"/>
          <w:color w:val="0050AC"/>
          <w:spacing w:val="0"/>
          <w:sz w:val="24"/>
          <w:szCs w:val="24"/>
          <w:u w:val="none"/>
          <w:shd w:val="clear" w:fill="FFFFFF"/>
        </w:rPr>
        <w:fldChar w:fldCharType="end"/>
      </w:r>
    </w:p>
    <w:p w14:paraId="2F424B0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00" w:beforeAutospacing="0" w:after="0" w:afterAutospacing="0" w:line="240" w:lineRule="auto"/>
        <w:ind w:left="0" w:right="0" w:firstLine="480" w:firstLineChars="200"/>
        <w:jc w:val="left"/>
        <w:textAlignment w:val="auto"/>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3.</w:t>
      </w:r>
      <w:r>
        <w:rPr>
          <w:rFonts w:hint="eastAsia" w:ascii="宋体" w:hAnsi="宋体" w:eastAsia="宋体" w:cs="宋体"/>
          <w:i w:val="0"/>
          <w:iCs w:val="0"/>
          <w:caps w:val="0"/>
          <w:color w:val="0050AC"/>
          <w:spacing w:val="0"/>
          <w:sz w:val="24"/>
          <w:szCs w:val="24"/>
          <w:u w:val="none"/>
          <w:shd w:val="clear" w:fill="FFFFFF"/>
        </w:rPr>
        <w:fldChar w:fldCharType="begin"/>
      </w:r>
      <w:r>
        <w:rPr>
          <w:rFonts w:hint="eastAsia" w:ascii="宋体" w:hAnsi="宋体" w:eastAsia="宋体" w:cs="宋体"/>
          <w:i w:val="0"/>
          <w:iCs w:val="0"/>
          <w:caps w:val="0"/>
          <w:color w:val="0050AC"/>
          <w:spacing w:val="0"/>
          <w:sz w:val="24"/>
          <w:szCs w:val="24"/>
          <w:u w:val="none"/>
          <w:shd w:val="clear" w:fill="FFFFFF"/>
        </w:rPr>
        <w:instrText xml:space="preserve"> HYPERLINK "https://fgk.chinatax.gov.cn/zcfgk/c100012/c5247507/5247507/files/%E3%80%8A%E5%A2%9E%E5%80%BC%E7%A8%8E%E5%8F%8A%E9%99%84%E5%8A%A0%E7%A8%8E%E8%B4%B9%E9%A2%84%E7%BC%B4%E8%A1%A8%E3%80%8B%E5%8F%8A%E5%85%B6%E9%99%84%E5%88%97%E8%B5%84%E6%96%99%E9%83%A8%E5%88%86%E6%A0%8F%E6%AC%A1%E5%A1%AB%E6%8A%A5%E8%A6%81%E6%B1%82%E8%B0%83%E6%95%B4.doc" \t "https://fgk.chinatax.gov.cn/zcfgk/c100012/c5247507/_blank" </w:instrText>
      </w:r>
      <w:r>
        <w:rPr>
          <w:rFonts w:hint="eastAsia" w:ascii="宋体" w:hAnsi="宋体" w:eastAsia="宋体" w:cs="宋体"/>
          <w:i w:val="0"/>
          <w:iCs w:val="0"/>
          <w:caps w:val="0"/>
          <w:color w:val="0050AC"/>
          <w:spacing w:val="0"/>
          <w:sz w:val="24"/>
          <w:szCs w:val="24"/>
          <w:u w:val="none"/>
          <w:shd w:val="clear" w:fill="FFFFFF"/>
        </w:rPr>
        <w:fldChar w:fldCharType="separate"/>
      </w:r>
      <w:r>
        <w:rPr>
          <w:rStyle w:val="28"/>
          <w:rFonts w:hint="eastAsia" w:ascii="宋体" w:hAnsi="宋体" w:eastAsia="宋体" w:cs="宋体"/>
          <w:i w:val="0"/>
          <w:iCs w:val="0"/>
          <w:caps w:val="0"/>
          <w:color w:val="0050AC"/>
          <w:spacing w:val="0"/>
          <w:sz w:val="24"/>
          <w:szCs w:val="24"/>
          <w:u w:val="none"/>
          <w:shd w:val="clear" w:fill="FFFFFF"/>
        </w:rPr>
        <w:t>《增值税及附加税费预缴表》及其附列资料部分栏次填报要求调整.doc</w:t>
      </w:r>
      <w:r>
        <w:rPr>
          <w:rFonts w:hint="eastAsia" w:ascii="宋体" w:hAnsi="宋体" w:eastAsia="宋体" w:cs="宋体"/>
          <w:i w:val="0"/>
          <w:iCs w:val="0"/>
          <w:caps w:val="0"/>
          <w:color w:val="0050AC"/>
          <w:spacing w:val="0"/>
          <w:sz w:val="24"/>
          <w:szCs w:val="24"/>
          <w:u w:val="none"/>
          <w:shd w:val="clear" w:fill="FFFFFF"/>
        </w:rPr>
        <w:fldChar w:fldCharType="end"/>
      </w:r>
    </w:p>
    <w:p w14:paraId="3073ACC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 </w:t>
      </w:r>
    </w:p>
    <w:p w14:paraId="3FF8F2D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国家税务总局</w:t>
      </w:r>
    </w:p>
    <w:p w14:paraId="362A22B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2026年2月1日</w:t>
      </w:r>
    </w:p>
    <w:p w14:paraId="60602A92">
      <w:pPr>
        <w:shd w:val="clear" w:color="auto" w:fill="FFFFFF"/>
        <w:spacing w:line="520" w:lineRule="exact"/>
        <w:jc w:val="right"/>
        <w:rPr>
          <w:rFonts w:hint="eastAsia"/>
          <w:color w:val="BFBFBF" w:themeColor="background1" w:themeShade="BF"/>
        </w:rPr>
      </w:pPr>
    </w:p>
    <w:p w14:paraId="3F490EA3">
      <w:pPr>
        <w:shd w:val="clear" w:color="auto" w:fill="FFFFFF"/>
        <w:spacing w:line="520" w:lineRule="exact"/>
        <w:jc w:val="right"/>
        <w:rPr>
          <w:color w:val="BFBFBF" w:themeColor="background1" w:themeShade="BF"/>
        </w:rPr>
      </w:pPr>
      <w:r>
        <w:rPr>
          <w:rFonts w:hint="eastAsia"/>
          <w:color w:val="BFBFBF" w:themeColor="background1" w:themeShade="BF"/>
        </w:rPr>
        <w:t>（来源：国家税务总局网站）</w:t>
      </w:r>
    </w:p>
    <w:p w14:paraId="6F5D0E99">
      <w:pPr>
        <w:pStyle w:val="2"/>
        <w:jc w:val="both"/>
        <w:rPr>
          <w:rFonts w:hint="eastAsia" w:ascii="宋体" w:hAnsi="宋体" w:eastAsia="宋体" w:cs="微软雅黑"/>
          <w:color w:val="0070C0"/>
          <w:sz w:val="28"/>
          <w:szCs w:val="28"/>
        </w:rPr>
      </w:pPr>
    </w:p>
    <w:p w14:paraId="1C98434F">
      <w:pPr>
        <w:rPr>
          <w:rFonts w:hint="eastAsia" w:ascii="宋体" w:hAnsi="宋体" w:eastAsia="宋体" w:cs="微软雅黑"/>
          <w:color w:val="0070C0"/>
          <w:sz w:val="28"/>
          <w:szCs w:val="28"/>
        </w:rPr>
      </w:pPr>
    </w:p>
    <w:p w14:paraId="739D95E4">
      <w:pPr>
        <w:rPr>
          <w:rFonts w:hint="eastAsia" w:ascii="宋体" w:hAnsi="宋体" w:eastAsia="宋体" w:cs="微软雅黑"/>
          <w:color w:val="0070C0"/>
          <w:sz w:val="28"/>
          <w:szCs w:val="28"/>
        </w:rPr>
      </w:pPr>
    </w:p>
    <w:p w14:paraId="4A72FD51">
      <w:pPr>
        <w:rPr>
          <w:rFonts w:hint="eastAsia" w:ascii="宋体" w:hAnsi="宋体" w:eastAsia="宋体" w:cs="微软雅黑"/>
          <w:color w:val="0070C0"/>
          <w:sz w:val="28"/>
          <w:szCs w:val="28"/>
        </w:rPr>
      </w:pPr>
    </w:p>
    <w:p w14:paraId="08EC989E">
      <w:pPr>
        <w:pStyle w:val="2"/>
        <w:jc w:val="center"/>
        <w:rPr>
          <w:rFonts w:hint="eastAsia" w:ascii="宋体" w:hAnsi="宋体" w:eastAsia="宋体" w:cs="微软雅黑"/>
          <w:color w:val="0070C0"/>
          <w:sz w:val="28"/>
          <w:szCs w:val="28"/>
        </w:rPr>
      </w:pPr>
      <w:bookmarkStart w:id="52" w:name="_Toc12592"/>
      <w:r>
        <w:rPr>
          <w:rFonts w:hint="eastAsia" w:ascii="宋体" w:hAnsi="宋体" w:eastAsia="宋体" w:cs="微软雅黑"/>
          <w:color w:val="0070C0"/>
          <w:sz w:val="28"/>
          <w:szCs w:val="28"/>
        </w:rPr>
        <w:t>关于《国家税务总局关于发布〈出口业务增值税和消费税退（免）税管理办法〉的公告》的解读</w:t>
      </w:r>
      <w:bookmarkEnd w:id="52"/>
    </w:p>
    <w:p w14:paraId="30FAB14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根据《中华人民共和国增值税法》等相关法律法规以及《财政部 税务总局关于出口业务增值税和消费税政策的公告》（财政部 税务总局公告2026年第11号，以下简称《财税公告》），我局制发了《国家税务总局关于发布〈出口业务增值税和消费税退（免）税管理办法〉的公告》（以下简称《公告》），就出口业务增值税和消费税退（免）税[以下简称出口退（免）税]相关事宜予以明确。现解读如下：</w:t>
      </w:r>
    </w:p>
    <w:p w14:paraId="128E200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一、《公告》的主要内容是什么？</w:t>
      </w:r>
    </w:p>
    <w:p w14:paraId="0D5412C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公告》共八章。第一章总则，明确出口退（免）税政策依据及适用范围。第二章出口退（免）税备案，明确出口退（免）税新办备案、备案变更及备案撤回等相关规定。第三章出口退（免）税申报，明确出口退（免）税申报资料、申报受理和撤回等相关规定。第四章出口退（免）税办理，明确税务机关审核办理出口退（免）税的相关规定。第五章出口退（免）税证明管理，明确9类证明事项的开具、补办、作废等规定。第六章出口退（免）税服务和管理事项，明确纳税人可选用的免费申报渠道、全程网上办、政策提醒等便利服务，以及出口退（免）税备案单证、收汇等管理要求。第七章其他规定及违章处理，明确纳税人放弃退（免）税或免税等办理要求，以及违规行为的处理处罚等相关规定。第八章附则，明确文本资料的报送形式、视同出口货物的管理以及《公告》施行时间等。</w:t>
      </w:r>
    </w:p>
    <w:p w14:paraId="05E0F83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二、《公告》遵循的原则是什么？</w:t>
      </w:r>
    </w:p>
    <w:p w14:paraId="733FCFE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公告》主要遵循以下原则：一是总体延续，适当整合。总体沿用现行出口退（免）税管理规定，并将分散在不同时期出台的管理文件内容进行归并整合，形成规范统一的管理办法，便利纳税人理解掌握。二是衔接政策，同步调整。严格按照增值税法、实施条例以及出口税收政策规定，对相应出口退（免）管理规定进行调整，确保依据充分、合法合规。三是回应关切，务实优化。聚焦解决纳税人反映集中的诉求建议，吸纳基层税务机关征管实践积累的有益经验，对部分管理规定予以优化完善，增强《公告》的可操作性和针对性，提升服务和管理效能。</w:t>
      </w:r>
    </w:p>
    <w:p w14:paraId="28FE10A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三、《公告》在出口退（免）税备案方面做了哪些调整？</w:t>
      </w:r>
    </w:p>
    <w:p w14:paraId="285EA48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公告》总体沿用了现行出口退（免）税备案的相关规定，并结合纳税人意见建议进行了局部优化调整。主要包括：一是精简整合备案表单。将原有规定中出口退（免）税备案、特定业务备案（集团公司成员企业备案、免税品经营企业备案、委托代办退税备案、先退税后核销资格申请）5张备案表单简并整合为1张通用的《出口退（免）税备案表》，实现备案事项“一表通办”，归集研发机构等8类特定主体备案时需要提供的附送资料，形成1张《出口退（免）税备案附送资料清单》，实现附送资料“一单明确”。二是优化调整备案变更要求。按照原有规定，纳税人应当在申请变更退（免）税办法前结清出口退（免）税款，申请变更后不得申报变更前出口业务退（免）税。针对部分客观因素确实无法即时结清税款，或因办理出口退（免）税备案时对政策不熟悉误选退（免）税办法等实际情况，《公告》在上述原则性规定的基础上，增设例外条款，明确对存在特定情形的出口业务，按照规定报告税务机关后，无需在变更前结清出口退（免）税款，可在变更后继续申报办理出口退（免）税。</w:t>
      </w:r>
    </w:p>
    <w:p w14:paraId="2A8A885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四、纳税人应于何时办理出口退（免）税备案？备案时需要报送哪些信息资料？</w:t>
      </w:r>
    </w:p>
    <w:p w14:paraId="5FBD125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在首次申报出口退（免）税、申请开具出口退（免）税证明时，应办理出口退（免）税备案。备案时，应当向主管税务机关如实报送《出口退（免）税备案表》，并视出口业务具体情况，报送《出口退（免）税备案附送资料清单》列明的相应附送资料。</w:t>
      </w:r>
    </w:p>
    <w:p w14:paraId="7BF10BB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1：某外贸企业于2026年1月5日注册成立并办理了税务登记，1月8日以一般贸易方式自营出口了一批货物，并拟于2月2日首次申报出口退（免）税。该企业在1月5日完成税务登记后即可办理出口退（免）税备案，最晚应于2月2日首次申报出口退（免）税时完成备案。同时，以一般贸易方式自营出口货物无附送资料要求，该企业备案时仅需如实报送《出口退（免）税备案表》。</w:t>
      </w:r>
    </w:p>
    <w:p w14:paraId="57204CE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2：某外贸企业于2026年1月5日注册成立并办理了税务登记，1月8日跨境销售设计服务，并拟于2月2日首次申报出口退（免）税。该企业在1月5日完成税务登记后即可办理出口退（免）税备案，最晚应于2月2日首次申报出口退（免）税时完成备案。同时，企业跨境销售设计服务的，备案时除报送《出口退（免）税备案表》外，还应同步报送与境外单位签订的跨境销售服务合同、与跨境销售服务收入相对应的《技术出口合同登记证》及其数据表等附送资料。</w:t>
      </w:r>
    </w:p>
    <w:p w14:paraId="06F7874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3：某生产企业于2026年1月5日注册成立并办理了税务登记，拟委托外贸综合服务企业代为办理出口退（免）税事宜。该企业在1月5日完成税务登记后即可办理出口退（免）税备案，最晚应于首次委托代办退税时完成备案。备案时，仅需如实报送《出口退（免）税备案表》。需注意的是，在填写备案表时，除填写出口退（免）税基本信息相关栏次外，还需在出口退（免）税管理类型中选择“委托代办退税生产企业”，并填写委托代办退税信息相关栏次。</w:t>
      </w:r>
    </w:p>
    <w:p w14:paraId="50BC9E7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4：某生产企业已于2024年1月办理出口退（免）税备案和委托代办退税备案。《公告》发布新的《出口退（免）税备案表》后，该企业无需按照新的备案表重新办理出口退（免）税备案和委托代办退税备案。</w:t>
      </w:r>
    </w:p>
    <w:p w14:paraId="4D3CEB9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五、纳税人申请变更退（免）税办法，此前发生的出口业务应当如何处理？</w:t>
      </w:r>
    </w:p>
    <w:p w14:paraId="659F6FB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答：纳税人变更退（免）税办法的，除《公告》第九条规定的情形外，应当在申请变更前结清出口退（免）税款，申请变更后不得再申报办理变更前的出口业务。</w:t>
      </w:r>
    </w:p>
    <w:p w14:paraId="639674B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生产企业因调整经营模式，于2026年4月1日申请将备案的退（免）税办法由免抵退税变更为免退税。如不存在《公告》第九条规定的特殊情形，则应当就4月1日前发生的出口业务结清出口退（免）税款。主管税务机关确认企业已结清出口退（免）税款后，于4月3日为纳税人办理变更。该企业自4月3日完成变更后，可就4月1日及以后发生的适用免退税办法的出口业务，按照免退税办法申报出口退（免）税。</w:t>
      </w:r>
    </w:p>
    <w:p w14:paraId="5597319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六、纳税人申请变更退（免）税办法前发生的出口业务因特殊情形确实无法结清出口退（免）税款的，应当如何处理？</w:t>
      </w:r>
    </w:p>
    <w:p w14:paraId="448653E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申请变更退（免）税办法前发生的出口业务存在下列情形的，向主管税务机关报送《已出口未结清退（免）税业务报告表》后，已报告的出口业务无需在变更前结清出口退（免）税款，可在变更后继续申报办理出口退（免）税：</w:t>
      </w:r>
    </w:p>
    <w:p w14:paraId="46FE5A5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（一）未收齐出口退（免）税申报凭证、申报附送资料、收汇材料，暂时无法申报出口退（免）税的。</w:t>
      </w:r>
    </w:p>
    <w:p w14:paraId="47431D7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（二）已申报出口退（免）税但因税务稽查、出口税收函调等原因，主管税务机关暂时无法办结出口退（免）税的。</w:t>
      </w:r>
    </w:p>
    <w:p w14:paraId="5EE60FB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（三）申请变更前三十日内已按照变更后经营模式开展经营的。</w:t>
      </w:r>
    </w:p>
    <w:p w14:paraId="02BDD27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（四）在主管税务机关首次核准出口退（免）税前发现退（免）税办法备案有误的。</w:t>
      </w:r>
    </w:p>
    <w:p w14:paraId="73B5207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1：某外贸企业因调整经营模式，于2026年4月1日申请将备案的退（免）税办法由免退税变更为免抵退税，但有一笔3月15日出口的货物尚未取得上游供货企业开具的增值税专用发票，暂时无法申报出口退（免）税。此时，该企业可就该笔出口业务向主管税务机关报送《已出口未结清退（免）税业务报告表》，报送后该笔出口业务可无需结清出口退（免）税款，先行办理退（免）税办法变更。待收齐增值税专用发票等申报凭证后，按照免退税办法申报办理该笔业务的出口退（免）税。</w:t>
      </w:r>
    </w:p>
    <w:p w14:paraId="71837D9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2：某外贸企业因调整经营模式，于2026年4月1日申请将其备案的退（免）税办法由免退税变更为免抵退税，但有一笔申报业务正在由主管税务机关发函调查，暂无法在变更前办结出口退（免）税。此时，该企业可就该笔出口业务向主管税务机关报送《已出口未结清退（免）税业务报告表》，先行申请变更退（免）税办法。在变更后，继续按照免退税办法办理该笔业务的出口退（免）税。</w:t>
      </w:r>
    </w:p>
    <w:p w14:paraId="2F47044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3：某生产企业因经营策略调整，于2026年3月15日起改按外贸企业模式开展经营。该企业于4月1日申请将其备案的退（免）税办法由免抵退税变更为免退税。该企业可就3月15日至4月1日期间按外贸企业模式开展的出口业务，向主管税务机关报送《已出口未结清退（免）税业务报告表》，报送后上述期间的出口业务可在变更后按照免退税办法申报办理出口退（免）税。</w:t>
      </w:r>
    </w:p>
    <w:p w14:paraId="1373D36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4：某生产企业2026年4月1日办理出口退（免）税备案时，误将退（免）税办法选择为与自身经营模式不匹配的免退税办法。该企业办理备案后，未曾申报出口退（免）税。4月10日，该企业发现备案有误，随即向主管税务机关申请变更退（免）税办法，并就此前已发生的出口业务向主管税务机关报送《已出口未结清退（免）税业务报告表》，报送后其已发生的出口业务可在变更后按照免抵退税办法申报办理出口退（免）税。</w:t>
      </w:r>
    </w:p>
    <w:p w14:paraId="70E8D91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七、纳税人申请变更主管税务机关时，部分出口业务尚未申报出口退（免）税，这些业务后续应向何地税务机关申报办理？</w:t>
      </w:r>
    </w:p>
    <w:p w14:paraId="1ADE01E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申请变更主管税务机关的，原主管税务机关办结纳税人已申请的出口退（免）税相关事宜后，即可为其办理备案变更。纳税人尚未申请的出口退（免）税相关事宜，应当向变更后的主管税务机关申请办理。</w:t>
      </w:r>
    </w:p>
    <w:p w14:paraId="222818C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八、《公告》在出口退（免）税申报方面做了哪些调整？</w:t>
      </w:r>
    </w:p>
    <w:p w14:paraId="3C97700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公告》总体沿用了现行出口退（免）税申报的相关规定，并根据出口税收政策调整情况及纳税人实际申报需求，对部分申报表单及申报要求进行了配套调整优化。主要包括：一是完善申报表单。针对在轨交付空间飞行器及相关货物、航天运输服务可以适用免抵退税办法的政策新规，对申报明细表单相关栏次进行调整，满足上述出口业务免抵退税申报需要。二是细化申报要求。针对外贸企业适用免抵退税办法的特殊情形，细化明确退（免）税申报要求：总体比照生产企业免抵退税申报；同时，外购业务还需同时报送《外贸企业出口退税进货明细申报表》。</w:t>
      </w:r>
    </w:p>
    <w:p w14:paraId="1DCB5C9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九、纳税人申报在轨交付空间飞行器及相关货物免抵退税时，应当报送哪些申报资料？</w:t>
      </w:r>
    </w:p>
    <w:p w14:paraId="4794756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答：纳税人在轨交付空间飞行器及相关货物适用免抵退税办法的，应当报送以下申报资料：</w:t>
      </w:r>
    </w:p>
    <w:p w14:paraId="68368F9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（一）《免抵退税申报汇总表》。</w:t>
      </w:r>
    </w:p>
    <w:p w14:paraId="4E0BB9E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（二）《生产企业出口货物及修理修配服务免抵退税申报明细表》。</w:t>
      </w:r>
    </w:p>
    <w:p w14:paraId="2B122BB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（三）出口发票或者普通发票。</w:t>
      </w:r>
    </w:p>
    <w:p w14:paraId="795C42B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四）《出口退（免）税申报附送资料清单》要求报送的资料，具体为：1.签订的在轨交付合同（在轨交付合同存在对应项目清单的，还应当提供项目清单）；2.从与之签订在轨交付合同的单位取得收入的收款凭证。</w:t>
      </w:r>
    </w:p>
    <w:p w14:paraId="5CB72FF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（五）市级以上税务机关要求报送的其他资料。</w:t>
      </w:r>
    </w:p>
    <w:p w14:paraId="2666B7D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十、纳税人申报航天运输服务免抵退税时，应当报送哪些申报资料？</w:t>
      </w:r>
    </w:p>
    <w:p w14:paraId="2B90082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答：纳税人提供航天运输服务适用免抵退税办法的，应当报送以下申报资料：</w:t>
      </w:r>
    </w:p>
    <w:p w14:paraId="0E4A0C8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（一）《免抵退税申报汇总表》。</w:t>
      </w:r>
    </w:p>
    <w:p w14:paraId="2318E1C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（二）《国际运输（港澳台运输）、航天运输免抵退税申报明细表》。</w:t>
      </w:r>
    </w:p>
    <w:p w14:paraId="244E7FB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（三）出口发票或者普通发票。</w:t>
      </w:r>
    </w:p>
    <w:p w14:paraId="33DC065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（四）《出口退（免）税申报附送资料清单》要求报送的资料，具体为：1.签订的发射合同（发射合同存在对应项目清单的，还应当提供项目清单）；2.从与之签订发射合同的单位取得收入的收款凭证。</w:t>
      </w:r>
    </w:p>
    <w:p w14:paraId="6760BE2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（五）市级以上税务机关要求报送的其他资料。</w:t>
      </w:r>
    </w:p>
    <w:p w14:paraId="0BCE502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十一、外贸企业直接将服务或自行研发的无形资产出口，视同生产企业连同其出口货物统一实行免抵退税办法。外贸企业在申报免抵退税时应当报送哪些申报资料？</w:t>
      </w:r>
    </w:p>
    <w:p w14:paraId="5C634AA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答：外贸企业申报免抵退税时，应当参照生产企业免抵退税申报要求，按照《公告》第十六条、第十七条的规定申报免抵退税。属于外购业务的，还需同时报送《外贸企业出口退税进货明细申报表》。</w:t>
      </w:r>
    </w:p>
    <w:p w14:paraId="4AB1D71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外贸企业2024年1月办理出口退（免）税备案，备案的企业类型为“外贸企业”、退（免）税办法为“免退税”。2026年2月，该企业具备研发能力，开始直接向境外单位销售完全在境外消费的研发服务。按照《财税公告》的规定，该企业就其研发服务连同出口货物统一实行免抵退税办法。该企业当月办理出口退（免）税备案变更时，将退（免）税办法由“免退税”变更为“免抵退税”，企业类型无需变更，仍为“外贸企业”。</w:t>
      </w:r>
    </w:p>
    <w:p w14:paraId="09A879C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情形一：2026年3月10日，该企业就其直接向境外单位销售完全在境外消费的研发服务申报免抵退税时，应当报送以下申报资料：</w:t>
      </w:r>
    </w:p>
    <w:p w14:paraId="1209D2D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（一）《免抵退税申报汇总表》。</w:t>
      </w:r>
    </w:p>
    <w:p w14:paraId="1CA09FB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（二）《跨境销售服务及无形资产免抵退税申报明细表》《跨境销售服务及无形资产收讫营业款明细清单》。</w:t>
      </w:r>
    </w:p>
    <w:p w14:paraId="795D686E">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（三）出口发票或者普通发票。</w:t>
      </w:r>
    </w:p>
    <w:p w14:paraId="14E3E0FE">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四）《出口退（免）税申报附送资料清单》要求报送的资料，具体为：1.与境外单位签订的研发合同；2.与服务收入相对应的《技术出口合同登记证》及其数据表；3.从与之签订研发合同的境外单位取得收入的收款凭证。</w:t>
      </w:r>
    </w:p>
    <w:p w14:paraId="29B5232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（五）市级以上税务机关要求报送的其他资料。</w:t>
      </w:r>
    </w:p>
    <w:p w14:paraId="26A3E81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二：2026年3月10日，该企业就其直接向境外单位销售完全在境外消费的研发服务及外购出口货物一并申报免抵退税时，除提供情形一所列申报资料外，还应当按照生产企业申报出口货物退（免）税的规定报送相关申报资料，并就其外购出口货物同时报送《外贸企业出口退税进货明细申报表》。</w:t>
      </w:r>
    </w:p>
    <w:p w14:paraId="6A557FF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十二、纳税人申报消费税退（免）税时，应当报送哪些申报资料？</w:t>
      </w:r>
    </w:p>
    <w:p w14:paraId="46788C4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答：纳税人办理消费税退（免）税申报的，应当与其对应的增值税退（免）税一并申报，并报送下列申报资料：</w:t>
      </w:r>
    </w:p>
    <w:p w14:paraId="5DFF330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适用免抵退税办法的，应当报送《出口非自产货物消费税退税申报表》，同时根据实际业务情况报送《税收缴款书（出口货物劳务专用）》或者《出口货物完税分割单》、海关进口消费税专用缴款书、委托加工收回应税消费品的代扣代收税款凭证。</w:t>
      </w:r>
    </w:p>
    <w:p w14:paraId="30A570A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适用免退税办法的，应当报送《外贸企业出口退税出口明细申报表》和《外贸企业出口退税进货明细申报表》，同时根据实际业务情况报送《税收缴款书（出口货物劳务专用）》或者《出口货物完税分割单》、海关进口消费税专用缴款书。</w:t>
      </w:r>
    </w:p>
    <w:p w14:paraId="493A4A0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十三、纳税人发现出口退（免）税申报有误的，应当如何处理？</w:t>
      </w:r>
    </w:p>
    <w:p w14:paraId="2F42A88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应当视该笔申报业务的核准情况分别处理：一是该笔申报尚未经主管税务机关核准的，纳税人报送《撤回出口退（免）税申报申请表》，并选择“撤回原因”为“申报错误申请撤回”，申请撤回申报。主管税务机关未发现存在不予退（免）税情形的，即可撤回。二是该笔申报已经主管税务机关核准的，纳税人应当用负数冲减原申报数据。</w:t>
      </w:r>
    </w:p>
    <w:p w14:paraId="7849C39E">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纳税人已撤回或者已用负数冲减的上述申报数据涉及的申报凭证，后续可以重新用于申报出口退（免）税。</w:t>
      </w:r>
    </w:p>
    <w:p w14:paraId="59FC57C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十四、纳税人已办理出口退（免）税的出口业务发生销售退回，应当如何处理?</w:t>
      </w:r>
    </w:p>
    <w:p w14:paraId="2EF5A4C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已办理出口退（免）税的出口业务发生销售折让、中止或者退回的，应当在发生的当月或者次月用负数冲减原出口退（免）税申报数据。冲减后，当期应退（免）税额为负数的，适用免抵退税办法的纳税人应当结转下期继续抵减，适用免退税办法的纳税人应当缴回税款；应退（免）税额为正数的，主管税务机关按照规定办理出口退（免）税。</w:t>
      </w:r>
    </w:p>
    <w:p w14:paraId="7FCFE3AE">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1：某外贸企业于2026年1月出口一批服装，2月申报出口退（免）税5000元，税务机关于当月审核通过后为其办理了出口退（免）税5000元。6月该批服装因尺码不符合外商要求全部退货，该企业应当于6月或者7月用负数冲减原退（免）税申报数据。</w:t>
      </w:r>
    </w:p>
    <w:p w14:paraId="681C0C9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一：该企业于7月提交了一笔出口退（免）税额为-5000的申报数据，将此前原退（免）税申报数据负数冲减。同期该企业因发生其他出口业务一并提交了一笔出口退（免）税额为7000元的申报数据，此时，该企业7月当期的应退（免）税额为2000元（2000元＝-5000元＋7000元）。税务机关审核通过后，为该企业办理退税2000元。</w:t>
      </w:r>
    </w:p>
    <w:p w14:paraId="234AEBE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二：该企业于7月提交了一笔出口退（免）税额为-5000的申报数据，将此前原退（免）税申报数据负数冲减，同期该企业因发生其他出口业务一并提交了一笔出口退（免）税额为3000元的申报数据，此时，该企业在7月当期的应退（免）税额为-2000元（-2000元＝-5000元＋3000元）。税务机关审核通过后，该企业应当缴回税款2000元。</w:t>
      </w:r>
    </w:p>
    <w:p w14:paraId="32D24E7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2：某生产企业于2026年1月出口一批服装，2月申报出口退（免）税5000元，税务机关于当月审核通过后为其办理了出口退（免）税5000元。6月该批服装因尺码不符合外商要求全部退货，该企业应当于6月或者7月用负数冲减原退（免）税申报数据。</w:t>
      </w:r>
    </w:p>
    <w:p w14:paraId="475E671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一：该企业于7月提交了一笔出口退（免）税额为-5000的申报数据，将此前原退（免）税申报数据负数冲减。同时该企业因发生其他出口业务一并提交了一笔出口退（免）税额为7000元的申报数据，此时，该企业在7月当期的应退（免）税额为2000元（2000元＝-5000元＋7000元）。税务机关审核通过后，为该企业办理退（免）税2000元。</w:t>
      </w:r>
    </w:p>
    <w:p w14:paraId="1F0A2CB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二：该企业于7月提交了一笔出口退（免）税额为-5000的申报数据，将此前原退（免）税申报数据负数冲减。同时该企业因发生其他出口业务一并提交了一笔出口退（免）税额为3000元的申报数据，此时，该企业在7月当期的应退（免）税额为-2000元（-2000元＝-5000元＋3000元）。税务机关审核通过后，该企业应当将－2000元的应退（免）税额结转下期继续抵减。</w:t>
      </w:r>
    </w:p>
    <w:p w14:paraId="02CAF3F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十五、税务机关发现纳税人涉嫌接受虚开增值税专用发票被税务机关立案未处理完毕的，其出口退（免）税业务应当如何处理？</w:t>
      </w:r>
    </w:p>
    <w:p w14:paraId="1706240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主管税务机关发现纳税人存在涉嫌接受虚开增值税专用发票被税务机关立案未处理完毕的，所涉及的出口业务暂不办理出口退（免）税。已经办理的，主管税务机关应当按照所涉及的退税额暂扣纳税人其他已审核通过的应退税款。主管税务机关待核实排除疑点后，方可继续按照规定办理出口退（免）税或者解除暂扣应退税款。</w:t>
      </w:r>
    </w:p>
    <w:p w14:paraId="2EC6209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外贸企业于2026年1月4日就一批出口服装申报出口退（免）税，该笔申报对应的购进凭证共包括2份增值税专用发票，对应退税额2000元。1月9日，该企业因涉嫌接受虚开增值税专用发票被税务机关立案检查，涉案发票为1月4日申报出口退（免）税使用的2份增值税专用发票，对应退税额2000元。</w:t>
      </w:r>
    </w:p>
    <w:p w14:paraId="3F3A979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情形一：1月9日该企业被立案检查时，1月4日申报的出口退（免）税申报尚未办理完毕，主管税务机关暂不办理该笔出口业务对应的2000元退税额，待税务机关核实排除相应疑点后，方可继续办理。</w:t>
      </w:r>
    </w:p>
    <w:p w14:paraId="406EDA1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情形二：1月9日该企业被立案检查时，1月4日申报的出口退（免）税已办理完毕，另有一笔1月8日申报的3000元出口退（免）税已审核通过但尚未办理完毕，主管税务机关应当按照涉案发票对应的2000元退税额，暂扣该企业已审核通过的2000元应退税款。</w:t>
      </w:r>
    </w:p>
    <w:p w14:paraId="0FC302F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十六、纳税人存在何种情形，主管税务机关应对其全部出口业务暂不办理出口退（免）税？</w:t>
      </w:r>
    </w:p>
    <w:p w14:paraId="143129B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答：主管税务机关发现纳税人存在下列情形的，暂不办理纳税人的出口退（免）税：</w:t>
      </w:r>
    </w:p>
    <w:p w14:paraId="311527A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（一）状态为非正常户的；</w:t>
      </w:r>
    </w:p>
    <w:p w14:paraId="7E89275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（二）存在应缴回逾期未缴回出口退（免）税款的；</w:t>
      </w:r>
    </w:p>
    <w:p w14:paraId="18399FA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（三）拒不配合税务机关开展出口退（免）税相关核查的；</w:t>
      </w:r>
    </w:p>
    <w:p w14:paraId="4B30D55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（四）国家税务总局规定的其他情形。</w:t>
      </w:r>
    </w:p>
    <w:p w14:paraId="40F2CAF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新办企业在首次申报出口退（免）税时，拒绝配合主管税务机关开展实地核查，主管税务机关责令限期整改后仍拒绝接受核查，导致主管税务机关难以确认其是否满足退（免）税条件。在该企业配合核查前，主管税务机关暂不办理其全部出口退（免）税业务，待其配合核查后再予以办理。</w:t>
      </w:r>
    </w:p>
    <w:p w14:paraId="5ACF4A5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十七、《公告》在出口退（免）税证明管理方面做了哪些调整？</w:t>
      </w:r>
    </w:p>
    <w:p w14:paraId="469D43C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公告》总体沿用了现行出口退（免）税证明申请开具的相关规定，并根据出口退（免）税政策调整、税务部门与海关部门深化协作等情况，对部分证明的申请和开具规定进行了调整优化。主要包括：一是实现证明全面电子化。在2022年已实现6类证明电子化开具的基础上，结合税务与海关等部门数据共享新情况，明确剩余的3类证明（《准予免税购进出口卷烟证明》《出口卷烟已免税证明》《出口货物已补税/未退税证明》）也可电子化开具使用。二是调整证明办理时限要求。根据出口货物自报关之日起三十六个月内未申报办理退（免）税、免税应缴纳增值税的政策规定，《公告》同步明确，委托出口货物的受托方应自货物报关出口之日起三十六个月内申请开具《代理出口货物证明》。</w:t>
      </w:r>
    </w:p>
    <w:p w14:paraId="10A5D1B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十八、纳税人可以选择哪些免费的出口退（免）税便捷申报渠道？</w:t>
      </w:r>
    </w:p>
    <w:p w14:paraId="76F7D09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答：纳税人可以选择全国统一规范电子税务局、标准版国际贸易“单一窗口”、出口退税离线申报工具三种免费申报渠道办理出口退（免）税相关事宜。</w:t>
      </w:r>
    </w:p>
    <w:p w14:paraId="631AA65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十九、纳税人可享受哪些出口退（免）税相关提醒服务？</w:t>
      </w:r>
    </w:p>
    <w:p w14:paraId="3B0DA71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税务机关为纳税人免费提供出口退（免）税政策更新、出口退税率文库升级、尚有未用于出口退（免）税申报的出口货物报关单、已办结出口退（免）税等提醒服务。纳税人可自行选择订阅提醒服务内容。上述提醒服务仅供纳税人参考，不作为办理出口退（免）税相关事宜的依据。</w:t>
      </w:r>
    </w:p>
    <w:p w14:paraId="07A0717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二十、纳税人适用出口退（免）税政策的出口货物和对外修理修配服务，应当如何进行备案单证管理？</w:t>
      </w:r>
    </w:p>
    <w:p w14:paraId="748EA91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应当在申报出口退（免）税后十五日内，将下列备案单证妥善留存（因成交方式特性，纳税人没有相应备案单证的除外），并按照申报出口退（免）税的时间顺序制作备案单证目录，注明备案单证存放方式，以备税务机关核查。</w:t>
      </w:r>
    </w:p>
    <w:p w14:paraId="474BD49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（一）购销合同。包括：出口合同、外贸综合服务合同、外贸企业购货合同、生产企业收购非自产货物出口的购货合同等。</w:t>
      </w:r>
    </w:p>
    <w:p w14:paraId="3C0CEA2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（二）出口货物的运输单据。包括：海运提单、航空运单、铁路运单、货物承运单据、邮政收据等承运人出具的货物单据，纳税人承付运费的国内运输发票，纳税人承付费用的国际货物运输代理服务费发票等。</w:t>
      </w:r>
    </w:p>
    <w:p w14:paraId="12BE79F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（三）纳税人委托其他单位报关的单据。包括：委托报关协议、受托报关单位为其开具的代理报关服务费发票等。</w:t>
      </w:r>
    </w:p>
    <w:p w14:paraId="5ACF847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纳税人无法取得上述备案单证的，可用具有相似内容或者作用的其他资料替代。除另有规定外，备案单证由纳税人存放和保管，不得擅自损毁，保存期为十年。</w:t>
      </w:r>
    </w:p>
    <w:p w14:paraId="597000A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二十一、纳税人提供对外修理修配服务申报出口退（免）税，在收汇方面有何要求？</w:t>
      </w:r>
    </w:p>
    <w:p w14:paraId="70136D5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对外修理修配服务参照出口货物实行收汇管理。纳税人申报退（免）税的对外修理修配服务，应当在报关出口之日的次年4月30日前收汇。纳税人未在规定期限内收汇，但符合《视同收汇原因及举证材料清单》所列情形的，留存《出口业务收汇情况表》及举证材料，视同收汇；其中，出口合同约定全部收汇最终日期在报关出口之日的次年4月30日后的，应当在合同约定的期限内完成收汇，且不得晚于报关出口之日起三十六个月。</w:t>
      </w:r>
    </w:p>
    <w:p w14:paraId="729F571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二十二、纳税人跨境销售服务（对外修理修配服务除外）、无形资产适用出口退（免）税政策的，应当如何报送收汇材料？</w:t>
      </w:r>
    </w:p>
    <w:p w14:paraId="7E74792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答：纳税人适用出口退（免）税政策的跨境销售服务（对外修理修配服务除外）、无形资产，按照《公告》第三章规定报送相应收款凭证或者反映收入原始构成的单据凭证等申报资料的，视为报送收汇材料。</w:t>
      </w:r>
    </w:p>
    <w:p w14:paraId="41CE13A3">
      <w:pPr>
        <w:jc w:val="right"/>
        <w:rPr>
          <w:rFonts w:hint="eastAsia" w:ascii="仿宋" w:hAnsi="仿宋" w:eastAsia="仿宋" w:cs="仿宋"/>
          <w:b/>
          <w:bCs/>
          <w:i w:val="0"/>
          <w:iCs w:val="0"/>
          <w:caps w:val="0"/>
          <w:color w:val="910426"/>
          <w:spacing w:val="0"/>
          <w:sz w:val="24"/>
          <w:szCs w:val="24"/>
          <w:shd w:val="clear" w:fill="FFFFFF"/>
        </w:rPr>
      </w:pPr>
    </w:p>
    <w:p w14:paraId="441F9E5C">
      <w:pPr>
        <w:pStyle w:val="4"/>
        <w:keepNext w:val="0"/>
        <w:keepLines w:val="0"/>
        <w:widowControl/>
        <w:suppressLineNumbers w:val="0"/>
        <w:pBdr>
          <w:top w:val="none" w:color="auto" w:sz="0" w:space="0"/>
          <w:left w:val="none" w:color="auto" w:sz="0" w:space="0"/>
          <w:bottom w:val="single" w:color="454545" w:sz="6" w:space="7"/>
          <w:right w:val="none" w:color="auto" w:sz="0" w:space="0"/>
        </w:pBdr>
        <w:shd w:val="clear" w:fill="FFFFFF"/>
        <w:spacing w:before="0" w:beforeAutospacing="0" w:after="0" w:afterAutospacing="0" w:line="900" w:lineRule="atLeast"/>
        <w:ind w:left="0" w:right="0" w:firstLine="0"/>
        <w:jc w:val="center"/>
        <w:rPr>
          <w:rFonts w:hint="eastAsia" w:ascii="微软雅黑" w:hAnsi="微软雅黑" w:eastAsia="微软雅黑" w:cs="微软雅黑"/>
          <w:b/>
          <w:bCs/>
          <w:i w:val="0"/>
          <w:iCs w:val="0"/>
          <w:caps w:val="0"/>
          <w:color w:val="323534"/>
          <w:spacing w:val="0"/>
          <w:sz w:val="28"/>
          <w:szCs w:val="28"/>
          <w:shd w:val="clear" w:fill="FFFFFF"/>
        </w:rPr>
      </w:pPr>
      <w:bookmarkStart w:id="53" w:name="_Toc874"/>
      <w:bookmarkStart w:id="54" w:name="_Toc22099"/>
      <w:r>
        <w:rPr>
          <w:rFonts w:hint="eastAsia" w:ascii="微软雅黑" w:hAnsi="微软雅黑" w:eastAsia="微软雅黑" w:cs="微软雅黑"/>
          <w:b/>
          <w:bCs/>
          <w:i w:val="0"/>
          <w:iCs w:val="0"/>
          <w:caps w:val="0"/>
          <w:color w:val="323534"/>
          <w:spacing w:val="0"/>
          <w:sz w:val="28"/>
          <w:szCs w:val="28"/>
          <w:shd w:val="clear" w:fill="FFFFFF"/>
        </w:rPr>
        <w:t>国家税务总局关于发布《出口业务增值税和消费税退（免）税管理办法》的公告</w:t>
      </w:r>
      <w:bookmarkEnd w:id="53"/>
      <w:bookmarkEnd w:id="54"/>
    </w:p>
    <w:p w14:paraId="028C34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226" w:afterAutospacing="0"/>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DF0000"/>
          <w:spacing w:val="0"/>
          <w:sz w:val="24"/>
          <w:szCs w:val="24"/>
          <w:shd w:val="clear" w:fill="FFFFFF"/>
        </w:rPr>
        <w:t>国家税务总局公告2026年第5号</w:t>
      </w:r>
      <w:r>
        <w:rPr>
          <w:rFonts w:hint="eastAsia" w:ascii="宋体" w:hAnsi="宋体" w:eastAsia="宋体" w:cs="宋体"/>
          <w:i w:val="0"/>
          <w:iCs w:val="0"/>
          <w:caps w:val="0"/>
          <w:color w:val="7BC549"/>
          <w:spacing w:val="0"/>
          <w:kern w:val="0"/>
          <w:sz w:val="24"/>
          <w:szCs w:val="24"/>
          <w:u w:val="none"/>
          <w:bdr w:val="single" w:color="7BC549" w:sz="6" w:space="0"/>
          <w:shd w:val="clear" w:fill="FFFFFF"/>
          <w:lang w:val="en-US" w:eastAsia="zh-CN" w:bidi="ar"/>
        </w:rPr>
        <w:fldChar w:fldCharType="begin"/>
      </w:r>
      <w:r>
        <w:rPr>
          <w:rFonts w:hint="eastAsia" w:ascii="宋体" w:hAnsi="宋体" w:eastAsia="宋体" w:cs="宋体"/>
          <w:i w:val="0"/>
          <w:iCs w:val="0"/>
          <w:caps w:val="0"/>
          <w:color w:val="7BC549"/>
          <w:spacing w:val="0"/>
          <w:kern w:val="0"/>
          <w:sz w:val="24"/>
          <w:szCs w:val="24"/>
          <w:u w:val="none"/>
          <w:bdr w:val="single" w:color="7BC549" w:sz="6" w:space="0"/>
          <w:shd w:val="clear" w:fill="FFFFFF"/>
          <w:lang w:val="en-US" w:eastAsia="zh-CN" w:bidi="ar"/>
        </w:rPr>
        <w:instrText xml:space="preserve"> HYPERLINK "javascript:;" </w:instrText>
      </w:r>
      <w:r>
        <w:rPr>
          <w:rFonts w:hint="eastAsia" w:ascii="宋体" w:hAnsi="宋体" w:eastAsia="宋体" w:cs="宋体"/>
          <w:i w:val="0"/>
          <w:iCs w:val="0"/>
          <w:caps w:val="0"/>
          <w:color w:val="7BC549"/>
          <w:spacing w:val="0"/>
          <w:kern w:val="0"/>
          <w:sz w:val="24"/>
          <w:szCs w:val="24"/>
          <w:u w:val="none"/>
          <w:bdr w:val="single" w:color="7BC549" w:sz="6" w:space="0"/>
          <w:shd w:val="clear" w:fill="FFFFFF"/>
          <w:lang w:val="en-US" w:eastAsia="zh-CN" w:bidi="ar"/>
        </w:rPr>
        <w:fldChar w:fldCharType="separate"/>
      </w:r>
      <w:r>
        <w:rPr>
          <w:rFonts w:hint="eastAsia" w:ascii="宋体" w:hAnsi="宋体" w:eastAsia="宋体" w:cs="宋体"/>
          <w:i w:val="0"/>
          <w:iCs w:val="0"/>
          <w:caps w:val="0"/>
          <w:color w:val="7BC549"/>
          <w:spacing w:val="0"/>
          <w:kern w:val="0"/>
          <w:sz w:val="24"/>
          <w:szCs w:val="24"/>
          <w:u w:val="none"/>
          <w:bdr w:val="single" w:color="7BC549" w:sz="6" w:space="0"/>
          <w:shd w:val="clear" w:fill="FFFFFF"/>
          <w:lang w:val="en-US" w:eastAsia="zh-CN" w:bidi="ar"/>
        </w:rPr>
        <w:fldChar w:fldCharType="end"/>
      </w:r>
      <w:r>
        <w:rPr>
          <w:rFonts w:hint="eastAsia" w:ascii="宋体" w:hAnsi="宋体" w:eastAsia="宋体" w:cs="宋体"/>
          <w:i w:val="0"/>
          <w:iCs w:val="0"/>
          <w:caps w:val="0"/>
          <w:color w:val="FF763B"/>
          <w:spacing w:val="0"/>
          <w:kern w:val="0"/>
          <w:sz w:val="24"/>
          <w:szCs w:val="24"/>
          <w:u w:val="none"/>
          <w:bdr w:val="single" w:color="FF763B" w:sz="6" w:space="0"/>
          <w:shd w:val="clear" w:fill="FFFFFF"/>
          <w:lang w:val="en-US" w:eastAsia="zh-CN" w:bidi="ar"/>
        </w:rPr>
        <w:fldChar w:fldCharType="begin"/>
      </w:r>
      <w:r>
        <w:rPr>
          <w:rFonts w:hint="eastAsia" w:ascii="宋体" w:hAnsi="宋体" w:eastAsia="宋体" w:cs="宋体"/>
          <w:i w:val="0"/>
          <w:iCs w:val="0"/>
          <w:caps w:val="0"/>
          <w:color w:val="FF763B"/>
          <w:spacing w:val="0"/>
          <w:kern w:val="0"/>
          <w:sz w:val="24"/>
          <w:szCs w:val="24"/>
          <w:u w:val="none"/>
          <w:bdr w:val="single" w:color="FF763B" w:sz="6" w:space="0"/>
          <w:shd w:val="clear" w:fill="FFFFFF"/>
          <w:lang w:val="en-US" w:eastAsia="zh-CN" w:bidi="ar"/>
        </w:rPr>
        <w:instrText xml:space="preserve"> HYPERLINK "https://service.weibo.com/share/share.php?url=https://fgk.chinatax.gov.cn/zcfgk/c100012/c5247423/content.html&amp;title=%E5%9B%BD%E5%AE%B6%E7%A8%8E%E5%8A%A1%E6%80%BB%E5%B1%80%E6%94%BF%E7%AD%96%E6%B3%95%E8%A7%84%E5%BA%93&amp;pic=https://fgk.chinatax.gov.cn/zcfgk/xhtml/images/ENbox_sy.png&amp;appkey=" \t "https://fgk.chinatax.gov.cn/zcfgk/c100012/c5247423/_blank" </w:instrText>
      </w:r>
      <w:r>
        <w:rPr>
          <w:rFonts w:hint="eastAsia" w:ascii="宋体" w:hAnsi="宋体" w:eastAsia="宋体" w:cs="宋体"/>
          <w:i w:val="0"/>
          <w:iCs w:val="0"/>
          <w:caps w:val="0"/>
          <w:color w:val="FF763B"/>
          <w:spacing w:val="0"/>
          <w:kern w:val="0"/>
          <w:sz w:val="24"/>
          <w:szCs w:val="24"/>
          <w:u w:val="none"/>
          <w:bdr w:val="single" w:color="FF763B" w:sz="6" w:space="0"/>
          <w:shd w:val="clear" w:fill="FFFFFF"/>
          <w:lang w:val="en-US" w:eastAsia="zh-CN" w:bidi="ar"/>
        </w:rPr>
        <w:fldChar w:fldCharType="separate"/>
      </w:r>
      <w:r>
        <w:rPr>
          <w:rFonts w:hint="eastAsia" w:ascii="宋体" w:hAnsi="宋体" w:eastAsia="宋体" w:cs="宋体"/>
          <w:i w:val="0"/>
          <w:iCs w:val="0"/>
          <w:caps w:val="0"/>
          <w:color w:val="FF763B"/>
          <w:spacing w:val="0"/>
          <w:kern w:val="0"/>
          <w:sz w:val="24"/>
          <w:szCs w:val="24"/>
          <w:u w:val="none"/>
          <w:bdr w:val="single" w:color="FF763B" w:sz="6" w:space="0"/>
          <w:shd w:val="clear" w:fill="FFFFFF"/>
          <w:lang w:val="en-US" w:eastAsia="zh-CN" w:bidi="ar"/>
        </w:rPr>
        <w:fldChar w:fldCharType="end"/>
      </w:r>
    </w:p>
    <w:p w14:paraId="32D676C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 </w:t>
      </w:r>
      <w:r>
        <w:rPr>
          <w:rStyle w:val="56"/>
          <w:rFonts w:hint="eastAsia" w:ascii="宋体" w:hAnsi="宋体" w:eastAsia="宋体" w:cs="宋体"/>
          <w:i w:val="0"/>
          <w:iCs w:val="0"/>
          <w:caps w:val="0"/>
          <w:color w:val="333333"/>
          <w:spacing w:val="0"/>
          <w:sz w:val="24"/>
          <w:szCs w:val="24"/>
          <w:shd w:val="clear" w:fill="FFFFFF"/>
        </w:rPr>
        <w:t>成文日期：2026-01-30</w:t>
      </w:r>
    </w:p>
    <w:p w14:paraId="65BEE4F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42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为贯彻落实出口货物和跨境销售服务、无形资产（以下称出口业务）增值税和消费税政策，进一步便利服务、规范管理，国家税务总局制定了《出口业务增值税和消费税退（免）税管理办法》，现予以发布，自2026年1月1日起施行。《国家税务总局关于发布〈出口货物劳务增值税和消费税管理办法〉的公告》（2012年第24号）等文件规定同时废止。</w:t>
      </w:r>
    </w:p>
    <w:p w14:paraId="3CC83E3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42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特此公告。</w:t>
      </w:r>
    </w:p>
    <w:p w14:paraId="43E7DA6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　　附件：1.</w:t>
      </w:r>
      <w:r>
        <w:rPr>
          <w:rFonts w:hint="eastAsia" w:ascii="宋体" w:hAnsi="宋体" w:eastAsia="宋体" w:cs="宋体"/>
          <w:i w:val="0"/>
          <w:iCs w:val="0"/>
          <w:caps w:val="0"/>
          <w:color w:val="0050AC"/>
          <w:spacing w:val="0"/>
          <w:sz w:val="24"/>
          <w:szCs w:val="24"/>
          <w:u w:val="none"/>
          <w:shd w:val="clear" w:fill="FFFFFF"/>
        </w:rPr>
        <w:fldChar w:fldCharType="begin"/>
      </w:r>
      <w:r>
        <w:rPr>
          <w:rFonts w:hint="eastAsia" w:ascii="宋体" w:hAnsi="宋体" w:eastAsia="宋体" w:cs="宋体"/>
          <w:i w:val="0"/>
          <w:iCs w:val="0"/>
          <w:caps w:val="0"/>
          <w:color w:val="0050AC"/>
          <w:spacing w:val="0"/>
          <w:sz w:val="24"/>
          <w:szCs w:val="24"/>
          <w:u w:val="none"/>
          <w:shd w:val="clear" w:fill="FFFFFF"/>
        </w:rPr>
        <w:instrText xml:space="preserve"> HYPERLINK "https://fgk.chinatax.gov.cn/zcfgk/c100012/c5247423/5247423/files/%E5%87%BA%E5%8F%A3%E9%80%80%EF%BC%88%E5%85%8D%EF%BC%89%E7%A8%8E%E7%9B%B8%E5%85%B3%E8%A1%A8%E5%8D%95.pdf" \t "https://fgk.chinatax.gov.cn/zcfgk/c100012/c5247423/_blank" </w:instrText>
      </w:r>
      <w:r>
        <w:rPr>
          <w:rFonts w:hint="eastAsia" w:ascii="宋体" w:hAnsi="宋体" w:eastAsia="宋体" w:cs="宋体"/>
          <w:i w:val="0"/>
          <w:iCs w:val="0"/>
          <w:caps w:val="0"/>
          <w:color w:val="0050AC"/>
          <w:spacing w:val="0"/>
          <w:sz w:val="24"/>
          <w:szCs w:val="24"/>
          <w:u w:val="none"/>
          <w:shd w:val="clear" w:fill="FFFFFF"/>
        </w:rPr>
        <w:fldChar w:fldCharType="separate"/>
      </w:r>
      <w:r>
        <w:rPr>
          <w:rFonts w:hint="eastAsia" w:ascii="宋体" w:hAnsi="宋体" w:eastAsia="宋体" w:cs="宋体"/>
          <w:i w:val="0"/>
          <w:iCs w:val="0"/>
          <w:caps w:val="0"/>
          <w:color w:val="0050AC"/>
          <w:spacing w:val="0"/>
          <w:sz w:val="24"/>
          <w:szCs w:val="24"/>
          <w:u w:val="none"/>
          <w:shd w:val="clear" w:fill="FFFFFF"/>
        </w:rPr>
        <w:fldChar w:fldCharType="end"/>
      </w:r>
      <w:r>
        <w:rPr>
          <w:rFonts w:hint="eastAsia" w:ascii="宋体" w:hAnsi="宋体" w:eastAsia="宋体" w:cs="宋体"/>
          <w:i w:val="0"/>
          <w:iCs w:val="0"/>
          <w:caps w:val="0"/>
          <w:color w:val="0050AC"/>
          <w:spacing w:val="0"/>
          <w:sz w:val="24"/>
          <w:szCs w:val="24"/>
          <w:u w:val="none"/>
          <w:shd w:val="clear" w:fill="FFFFFF"/>
        </w:rPr>
        <w:fldChar w:fldCharType="begin"/>
      </w:r>
      <w:r>
        <w:rPr>
          <w:rFonts w:hint="eastAsia" w:ascii="宋体" w:hAnsi="宋体" w:eastAsia="宋体" w:cs="宋体"/>
          <w:i w:val="0"/>
          <w:iCs w:val="0"/>
          <w:caps w:val="0"/>
          <w:color w:val="0050AC"/>
          <w:spacing w:val="0"/>
          <w:sz w:val="24"/>
          <w:szCs w:val="24"/>
          <w:u w:val="none"/>
          <w:shd w:val="clear" w:fill="FFFFFF"/>
        </w:rPr>
        <w:instrText xml:space="preserve"> HYPERLINK "https://fgk.chinatax.gov.cn/zcfgk/c100012/c5247423/5247423/files/%E5%87%BA%E5%8F%A3%E9%80%80(%E5%85%8D)%E7%A8%8E%E7%9B%B8%E5%85%B3%E8%A1%A8%E5%8D%95.pdf" \t "https://fgk.chinatax.gov.cn/zcfgk/c100012/c5247423/_blank" </w:instrText>
      </w:r>
      <w:r>
        <w:rPr>
          <w:rFonts w:hint="eastAsia" w:ascii="宋体" w:hAnsi="宋体" w:eastAsia="宋体" w:cs="宋体"/>
          <w:i w:val="0"/>
          <w:iCs w:val="0"/>
          <w:caps w:val="0"/>
          <w:color w:val="0050AC"/>
          <w:spacing w:val="0"/>
          <w:sz w:val="24"/>
          <w:szCs w:val="24"/>
          <w:u w:val="none"/>
          <w:shd w:val="clear" w:fill="FFFFFF"/>
        </w:rPr>
        <w:fldChar w:fldCharType="separate"/>
      </w:r>
      <w:r>
        <w:rPr>
          <w:rStyle w:val="27"/>
          <w:rFonts w:hint="eastAsia" w:ascii="宋体" w:hAnsi="宋体" w:eastAsia="宋体" w:cs="宋体"/>
          <w:i w:val="0"/>
          <w:iCs w:val="0"/>
          <w:caps w:val="0"/>
          <w:color w:val="0050AC"/>
          <w:spacing w:val="0"/>
          <w:sz w:val="24"/>
          <w:szCs w:val="24"/>
          <w:u w:val="none"/>
          <w:shd w:val="clear" w:fill="FFFFFF"/>
        </w:rPr>
        <w:t>出口退（免）税相关表单.pdf</w:t>
      </w:r>
      <w:r>
        <w:rPr>
          <w:rFonts w:hint="eastAsia" w:ascii="宋体" w:hAnsi="宋体" w:eastAsia="宋体" w:cs="宋体"/>
          <w:i w:val="0"/>
          <w:iCs w:val="0"/>
          <w:caps w:val="0"/>
          <w:color w:val="0050AC"/>
          <w:spacing w:val="0"/>
          <w:sz w:val="24"/>
          <w:szCs w:val="24"/>
          <w:u w:val="none"/>
          <w:shd w:val="clear" w:fill="FFFFFF"/>
        </w:rPr>
        <w:fldChar w:fldCharType="end"/>
      </w:r>
    </w:p>
    <w:p w14:paraId="47B4441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　　　　　2.</w:t>
      </w:r>
      <w:r>
        <w:rPr>
          <w:rFonts w:hint="eastAsia" w:ascii="宋体" w:hAnsi="宋体" w:eastAsia="宋体" w:cs="宋体"/>
          <w:i w:val="0"/>
          <w:iCs w:val="0"/>
          <w:caps w:val="0"/>
          <w:color w:val="0050AC"/>
          <w:spacing w:val="0"/>
          <w:sz w:val="24"/>
          <w:szCs w:val="24"/>
          <w:u w:val="none"/>
          <w:shd w:val="clear" w:fill="FFFFFF"/>
        </w:rPr>
        <w:fldChar w:fldCharType="begin"/>
      </w:r>
      <w:r>
        <w:rPr>
          <w:rFonts w:hint="eastAsia" w:ascii="宋体" w:hAnsi="宋体" w:eastAsia="宋体" w:cs="宋体"/>
          <w:i w:val="0"/>
          <w:iCs w:val="0"/>
          <w:caps w:val="0"/>
          <w:color w:val="0050AC"/>
          <w:spacing w:val="0"/>
          <w:sz w:val="24"/>
          <w:szCs w:val="24"/>
          <w:u w:val="none"/>
          <w:shd w:val="clear" w:fill="FFFFFF"/>
        </w:rPr>
        <w:instrText xml:space="preserve"> HYPERLINK "https://fgk.chinatax.gov.cn/zcfgk/c100012/c5247423/5247423/files/%E5%85%A8%E6%96%87%E5%92%8C%E9%83%A8%E5%88%86%E6%9D%A1%E6%AC%BE%E5%A4%B1%E6%95%88%E5%BA%9F%E6%AD%A2%E7%9A%84%E7%A8%8E%E5%8A%A1%E8%A7%84%E8%8C%83%E6%80%A7%E6%96%87%E4%BB%B6%E7%9B%AE%E5%BD%95.xlsx" \t "https://fgk.chinatax.gov.cn/zcfgk/c100012/c5247423/_blank" </w:instrText>
      </w:r>
      <w:r>
        <w:rPr>
          <w:rFonts w:hint="eastAsia" w:ascii="宋体" w:hAnsi="宋体" w:eastAsia="宋体" w:cs="宋体"/>
          <w:i w:val="0"/>
          <w:iCs w:val="0"/>
          <w:caps w:val="0"/>
          <w:color w:val="0050AC"/>
          <w:spacing w:val="0"/>
          <w:sz w:val="24"/>
          <w:szCs w:val="24"/>
          <w:u w:val="none"/>
          <w:shd w:val="clear" w:fill="FFFFFF"/>
        </w:rPr>
        <w:fldChar w:fldCharType="separate"/>
      </w:r>
      <w:r>
        <w:rPr>
          <w:rStyle w:val="28"/>
          <w:rFonts w:hint="eastAsia" w:ascii="宋体" w:hAnsi="宋体" w:eastAsia="宋体" w:cs="宋体"/>
          <w:i w:val="0"/>
          <w:iCs w:val="0"/>
          <w:caps w:val="0"/>
          <w:color w:val="0050AC"/>
          <w:spacing w:val="0"/>
          <w:sz w:val="24"/>
          <w:szCs w:val="24"/>
          <w:u w:val="none"/>
          <w:shd w:val="clear" w:fill="FFFFFF"/>
        </w:rPr>
        <w:t>全文和部分条款失效废止的税务规范性文件目录.xlsx</w:t>
      </w:r>
      <w:r>
        <w:rPr>
          <w:rFonts w:hint="eastAsia" w:ascii="宋体" w:hAnsi="宋体" w:eastAsia="宋体" w:cs="宋体"/>
          <w:i w:val="0"/>
          <w:iCs w:val="0"/>
          <w:caps w:val="0"/>
          <w:color w:val="0050AC"/>
          <w:spacing w:val="0"/>
          <w:sz w:val="24"/>
          <w:szCs w:val="24"/>
          <w:u w:val="none"/>
          <w:shd w:val="clear" w:fill="FFFFFF"/>
        </w:rPr>
        <w:fldChar w:fldCharType="end"/>
      </w:r>
    </w:p>
    <w:p w14:paraId="085B4A5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国家税务总局</w:t>
      </w:r>
    </w:p>
    <w:p w14:paraId="222EB35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fill="FFFFFF"/>
        </w:rPr>
        <w:t>2026年1月30日</w:t>
      </w:r>
    </w:p>
    <w:p w14:paraId="0E6AB759">
      <w:pPr>
        <w:shd w:val="clear" w:color="auto" w:fill="FFFFFF"/>
        <w:spacing w:line="520" w:lineRule="exact"/>
        <w:jc w:val="right"/>
      </w:pPr>
      <w:r>
        <w:rPr>
          <w:rFonts w:hint="eastAsia"/>
          <w:color w:val="BFBFBF" w:themeColor="background1" w:themeShade="BF"/>
        </w:rPr>
        <w:t>（来源：国家税务总局网站）</w:t>
      </w:r>
    </w:p>
    <w:p w14:paraId="5547461F">
      <w:pPr>
        <w:pStyle w:val="2"/>
        <w:jc w:val="center"/>
        <w:rPr>
          <w:rFonts w:hint="eastAsia" w:ascii="宋体" w:hAnsi="宋体" w:eastAsia="宋体" w:cs="微软雅黑"/>
          <w:color w:val="0070C0"/>
          <w:sz w:val="28"/>
          <w:szCs w:val="28"/>
        </w:rPr>
      </w:pPr>
      <w:bookmarkStart w:id="55" w:name="_Toc6742"/>
      <w:r>
        <w:rPr>
          <w:rFonts w:hint="eastAsia" w:ascii="宋体" w:hAnsi="宋体" w:eastAsia="宋体" w:cs="微软雅黑"/>
          <w:color w:val="0070C0"/>
          <w:sz w:val="28"/>
          <w:szCs w:val="28"/>
        </w:rPr>
        <w:t>关于《国家税务总局关于增值税一般纳税人登记管理有关事项的公告》的解读</w:t>
      </w:r>
      <w:bookmarkEnd w:id="55"/>
    </w:p>
    <w:p w14:paraId="560B4A6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一、公告出台的背景是什么？</w:t>
      </w:r>
    </w:p>
    <w:p w14:paraId="23B5947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为落实《中华人民共和国增值税法》（以下简称增值税法）和《中华人民共和国增值税法实施条例》（以下简称实施条例）的要求，实行一般纳税人登记管理，税务总局配套制发了《国家税务总局关于增值税一般纳税人登记管理有关事项的公告》（2026年第2号，以下简称《公告》），就一般纳税人登记有关征管事项进一步予以明确。</w:t>
      </w:r>
    </w:p>
    <w:p w14:paraId="67E1B80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二、哪些纳税人应当办理一般纳税人登记？</w:t>
      </w:r>
    </w:p>
    <w:p w14:paraId="429BA9F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公告》第一条规定，增值税纳税人（以下简称纳税人）年应征增值税销售额超过增值税法规定的小规模纳税人标准（以下简称规定标准）的，除可以不办理一般纳税人登记的情形外，应当办理一般纳税人登记。其他应办理一般纳税人登记的情形，按国家税务总局有关规定执行。</w:t>
      </w:r>
    </w:p>
    <w:p w14:paraId="031165C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三、哪些年应征增值税销售额超过规定标准的纳税人可以不办理一般纳税人登记？</w:t>
      </w:r>
    </w:p>
    <w:p w14:paraId="214C155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根据实施条例规定，自然人属于小规模纳税人；不经常发生应税交易且主要业务不属于应税交易范围的非企业单位，可以选择按照小规模纳税人纳税。</w:t>
      </w:r>
    </w:p>
    <w:p w14:paraId="6CE5B84E">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四、其他应办理一般纳税人登记的情形有哪些？</w:t>
      </w:r>
    </w:p>
    <w:p w14:paraId="31397D4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一条规定，其他应办理一般纳税人登记的情形，按国家税务总局有关规定执行。例如，根据《国家税务总局关于加强国有粮食购销企业增值税管理有关问题的通知》（国税函〔1999〕560号）、《国家税务总局关于加油站一律按照增值税一般纳税人征税的通知》（国税函〔2001〕882号）、《国家税务总局关于发布&lt;航空运输企业增值税征收管理暂行办法&gt;的公告》（国家税务总局公告2013年第68号）等，享受免征增值税的国有粮食购销企业，从事成品油销售的加油站，实行汇总缴纳增值税的航空运输企业等纳税人，一律登记为一般纳税人。</w:t>
      </w:r>
    </w:p>
    <w:p w14:paraId="1500DB9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五、小规模纳税人会计核算健全，能够提供准确税务资料的，可以自行办理一般纳税人登记吗？生效之日如何确定？如何办理申报？</w:t>
      </w:r>
    </w:p>
    <w:p w14:paraId="025A983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二条规定，年应征增值税销售额未超过规定标准的纳税人，会计核算健全，能够提供准确税务资料的，可以办理一般纳税人登记。《公告》第六条第二款规定，纳税人年应征增值税销售额未超过规定标准，办理一般纳税人登记的，一般纳税人生效之日为办理登记的当期1日。</w:t>
      </w:r>
    </w:p>
    <w:p w14:paraId="5CBD6A1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1：某零售业纳税人A，属于按季申报的小规模纳税人，年应征增值税销售额未超过500万元，会计核算健全，能够提供准确税务资料。A于2026年5月10日向主管税务机关申请办理一般纳税人登记，一般纳税人登记后为按月申报，其一般纳税人生效之日为2026年5月1日。2026年5月1日至10日期间已经按征收率开具的发票可在冲红后，重新按适用税率开具发票。同时，A应在2026年6月申报期内办理2026年5月税款所属期的一般纳税人申报，在2026年7月申报期内办理2026年4月税款所属期的小规模纳税人申报和2026年6月税款所属期的一般纳税人申报。</w:t>
      </w:r>
    </w:p>
    <w:p w14:paraId="4570CF2D">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2：某银行业纳税人B，属于按季申报的小规模纳税人，年应征增值税销售额未超过500万元，会计核算健全，能够提供准确税务资料。B于2026年5月10日向主管税务机关申请办理一般纳税人登记，并选择适用以一个季度为一个计税期间，其一般纳税人生效之日为2026年4月1日。2026年4月1日至5月10日期间已经按征收率开具的发票可以冲红，重新按适用税率开具发票。B应在2026年7月申报期内办理2026年二季度税款所属期的一般纳税人申报。</w:t>
      </w:r>
    </w:p>
    <w:p w14:paraId="464AC4E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六、年应征增值税销售额是指什么？</w:t>
      </w:r>
    </w:p>
    <w:p w14:paraId="00A9D26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《公告》第三条第一款规定，年应征增值税销售额是指纳税人在连续不超过12个月或四个季度的经营期内累计应征增值税销售额。经营期是指在纳税人存续期内的连续经营期间，含未取得销售收入的月份或季度。</w:t>
      </w:r>
    </w:p>
    <w:p w14:paraId="4686D8C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七、纳税人偶然发生销售无形资产、转让不动产的销售额，是否计入年应征增值税销售额的计算？</w:t>
      </w:r>
    </w:p>
    <w:p w14:paraId="0940E09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《公告》第三条第二款规定，纳税人偶然发生的销售无形资产、转让不动产的销售额，不计入年应征增值税销售额的计算。</w:t>
      </w:r>
    </w:p>
    <w:p w14:paraId="391AA6D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批发零售业小规模纳税人C，2026年1月至12月销售服装等货物销售额合计450万元，2026年5月偶然转让名下一处不动产，销售额为100万元，按照规定该100万元不计入年应征增值税销售额的计算，C在2026年1月至12月的年应征增值税销售额计算为450万元。</w:t>
      </w:r>
    </w:p>
    <w:p w14:paraId="54F39EA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八、纳税人因自行补充或更正、风控核查、稽查查补等调整的销售额，是计入税款所属期的销售额，还是计入调整行为发生当期的销售额？</w:t>
      </w:r>
    </w:p>
    <w:p w14:paraId="2395409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《公告》第三条第三款规定，纳税人因自行补充或更正、风控核查、稽查查补等调整的销售额，应按纳税义务发生时间计入对应税款所属期销售额。</w:t>
      </w:r>
    </w:p>
    <w:p w14:paraId="487E696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举例说明：某小规模纳税人D，税务机关于2026年6月1日稽查查补其2025年2月销售额300万元，该300万元应计入其2025年2月税款所属期的销售额。</w:t>
      </w:r>
    </w:p>
    <w:p w14:paraId="1315435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九、年应征增值税销售额超过规定标准的纳税人，适用不办理一般纳税人登记情形的，应该如何办理选择按照小规模纳税人纳税？</w:t>
      </w:r>
    </w:p>
    <w:p w14:paraId="4FD6336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年应征增值税销售额超过规定标准的纳税人，适用选择按照小规模纳税人纳税情形的，根据《公告》第四条第二款规定，通过电子税务局或者办税服务厅等渠道向主管税务机关提交《选择按照小规模纳税人纳税的情况说明》。</w:t>
      </w:r>
    </w:p>
    <w:p w14:paraId="6037DE3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十、我是一家非企业单位，符合原政策规定选择按照小规模纳税人纳税，并办理了相关手续。新政实施后，我不再符合可以选择按照小规模纳税人纳税的规定，我是否应该办理一般纳税人登记？</w:t>
      </w:r>
    </w:p>
    <w:p w14:paraId="1A34F2B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实施条例对选择按照小规模纳税人纳税的情形进行了调整，对于符合原政策选择按照小规模纳税人纳税，但不符合实施条例相关规定的纳税人，自不符合政策起，其销售额将纳入年应征增值税销售额的计算，纳税人年应征增值税销售额超过规定标准的，应按规定办理一般纳税人登记。</w:t>
      </w:r>
    </w:p>
    <w:p w14:paraId="266FD37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非企业单位E，2024年三季度至2025年二季度年应征增值税销售额合计首次超过500万元，因其符合《中华人民共和国增值税暂行条例实施细则》第二十九条规定，选择按照小规模纳税人纳税，E向主管税务机关办理了相关手续。2026年起，E不符合实施条例规定选择按照小规模纳税人纳税的情形，E自2026年1月起的销售额将纳入年应征增值税销售额的计算范围。若E的年应征增值税销售额再次超过规定标准，则应按规定办理一般纳税人登记。</w:t>
      </w:r>
    </w:p>
    <w:p w14:paraId="27E90C6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十一、我是一个小规模纳税人，正常生产经营过程中，我的年应征增值税销售额超过了规定标准，我应在什么时候办理一般纳税人登记？一般纳税人的生效之日应如何确定？如何办理申报？</w:t>
      </w:r>
    </w:p>
    <w:p w14:paraId="05734B0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公告》第五条规定，纳税人年应征增值税销售额超过规定标准的，应在超过规定标准的次月申报纳税期限内，办理一般纳税人登记。根据《公告》第六条第一款规定，纳税人年应征增值税销售额超过规定标准的，一般纳税人生效之日为超过规定标准的当期1日。按季申报的小规模纳税人超过规定标准后，应结合实际经营情况，对季度内销售额按月拆分，以确定年应征增值税销售额超过规定标准的具体月份。</w:t>
      </w:r>
    </w:p>
    <w:p w14:paraId="37B94DC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1：按季申报的批发零售业小规模纳税人F，2026年前三季度销售额合计400万元，2026年10月销售额为20万元，2026年11月销售额为100万元，2026年12月销售额为10万元，年应征增值税销售额在2026年11月超过规定标准。根据规定，F应在2026年12月申报期内办理一般纳税人登记，F一般纳税人生效之日为2026年11月1日。F应在2026年12月申报期内办理2026年11月税款所属期的一般纳税人申报，在2027年1月申报期内办理2026年10月税款所属期的小规模纳税人申报和2026年12月税款所属期的一般纳税人申报。</w:t>
      </w:r>
    </w:p>
    <w:p w14:paraId="4A05741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2：按季申报的批发零售业小规模纳税人G，2026年前三季度销售额合计400万元，2026年四季度发生未开具发票销售额300万元，G结合实际经营情况对2026年四季度销售额进行逐月拆分，具体为2026年10月销售额20万元，2026年11月销售额50万元，2026年12月销售额230万元，G年应征增值税销售额在2026年12月超过规定标准。根据规定，G应在2027年1月申报期内办理一般纳税人登记，G一般纳税人生效之日为2026年12月1日。G应在2027年1月申报期内办理2026年10月至11月税款所属期的小规模纳税人申报和2026年12月税款所属期的一般纳税人申报。</w:t>
      </w:r>
    </w:p>
    <w:p w14:paraId="10226A59">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十二、我是一个小规模纳税人，自查查补以前税款所属期销售额，年应征增值税销售额超过规定标准，我应在什么时候办理一般纳税人登记？一般纳税人的生效之日应如何确定？如何办理申报？</w:t>
      </w:r>
    </w:p>
    <w:p w14:paraId="70E6A64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公告》第五条第一项及第六条规定，纳税人因自行补充或更正、风控核查、稽查查补等调整销售额，年应征增值税销售额超过规定标准的，应自调整之日起10个工作日内，办理一般纳税人登记，一般纳税人生效之日为超过规定标准的当期1日。同时，《公告》第十一条第二款规定，因自行补充或更正、风控核查、稽查查补等调整2025年及以前税款所属期销售额，年应征增值税销售额超过规定标准的，一般纳税人生效之日不早于2026年1月1日。</w:t>
      </w:r>
    </w:p>
    <w:p w14:paraId="64E008D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按季申报的批发零售业小规模纳税人H，2027年7月16日自行更正2026年四季度申报表，增加销售额300万元，纳税义务发生时间为2026年10月，重新计算后，H在2026年10月年应征增值税销售额超过规定标准，一般纳税人生效之日为2026年10月1日。H应自2027年7月16日起10个工作日内追溯登记为一般纳税人，自2026年10月税款所属期起按月办理一般纳税人增值税申报。其中，2026年10月税款所属期至2027年6月税款所属期期间已办理小规模纳税人增值税申报的，应按一般纳税人逐期更正申报。若纳税人未按规定时限要求办理一般纳税人登记的，税务机关将自以上时限结束后5个工作日起，将纳税人纳入一般纳税人管理，一般纳税人生效之日仍为2026年10月1日。</w:t>
      </w:r>
    </w:p>
    <w:p w14:paraId="5B892D3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2026年11月5日，税务机关稽查查补H在2025年一季度销售额600万元，重新计算后，H在2025年一季度年应征增值税销售额超过规定标准，应调整其一般纳税人生效之日为2026年1月1日。H应自2026年11月5日起10个工作日内追溯登记一般纳税人，2026年1月税款所属期至9月税款所属期已办理小规模纳税人增值税申报的，应按一般纳税人逐期更正申报。</w:t>
      </w:r>
    </w:p>
    <w:p w14:paraId="3F0EF4E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十三、追溯登记的一般纳税人，可否就已取得的未确认用途的增值税扣税凭证进行抵扣用途确认？</w:t>
      </w:r>
    </w:p>
    <w:p w14:paraId="2F350E5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《公告》第七条规定，对一般纳税人生效之日起已按小规模纳税人申报增值税的，纳税人应按一般纳税人逐期更正申报。一般纳税人生效之日起已经取得但未确认用途的增值税扣税凭证，逐期进行抵扣用途确认。</w:t>
      </w:r>
    </w:p>
    <w:p w14:paraId="6004FD9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按季申报的批发零售业小规模纳税人J，2027年7月16日自行更正2026年四季度申报表，增加销售额300万元，纳税义务发生时间为2026年10月，重新计算后，J在2026年10月年应征增值税销售额超过规定标准，J在2027年7月25日办理了一般纳税人登记，一般纳税人生效之日为2026年10月1日。2026年10月税款所属期至2027年6月税款所属期期间已按小规模纳税人申报增值税的，应按一般纳税人逐期更正申报，2026年10月税款所属期至2027年6月税款所属期期间已经取得但未确认用途的增值税扣税凭证，逐期进行抵扣用途确认。</w:t>
      </w:r>
    </w:p>
    <w:p w14:paraId="7E9D32EA">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十四、纳税人追溯登记期间发生购进业务，但未及时取得增值税扣税凭证的，是否允许补充取得增值税扣税凭证？补充取得后应如何进行用途确认？</w:t>
      </w:r>
    </w:p>
    <w:p w14:paraId="555F3213">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纳税人追溯登记期间已发生购进业务，但未及时取得增值税扣税凭证的，可向上游销售方补充索取增值税扣税凭证。纳税人补充取得增值税扣税凭证后，按照现行规定通过税务数字账户或增值税发票综合服务平台等，对上述扣税凭证信息进行用途确认。</w:t>
      </w:r>
    </w:p>
    <w:p w14:paraId="50E02E9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十五、纳税人未按规定时限办理一般纳税人登记的，如何处理？</w:t>
      </w:r>
    </w:p>
    <w:p w14:paraId="4B0A9C5B">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根据《公告》第八条规定，纳税人未按规定时限办理相关手续的，自规定时限结束后5个工作日起按一般纳税人管理，一般纳税人生效之日按《公告》第六条规定确定。</w:t>
      </w:r>
    </w:p>
    <w:p w14:paraId="5263BF14">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按季申报的批发零售业小规模纳税人K，2026年前三季度销售额合计400万元，2026年10月销售额为120万元，年应征增值税销售额在2026年10月超过规定标准，一般纳税人生效之日为2026年10月1日。根据规定，K应在2026年11月申报期内办理一般纳税人登记。若K未在2026年11月申报期内办理相关手续，K自2026年11月申报期后5个工作日起按一般纳税人管理，一般纳税人生效之日仍为2026年10月1日。</w:t>
      </w:r>
    </w:p>
    <w:p w14:paraId="5054737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十六、符合规定已经选择按照小规模纳税人纳税的纳税人，因自身条件或经营业务变化，不再符合规定，应如何处理？</w:t>
      </w:r>
    </w:p>
    <w:p w14:paraId="0FCD2CB7">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九条规定，纳税人因自身条件或经营业务变化，不再符合选择按照小规模纳税人纳税的，应在变化当期向主管税务机关书面报告，自不符合规定当期起不再适用选择按照小规模纳税人纳税。主管税务机关发现纳税人不符合选择按照小规模纳税人纳税的，在发现之日起5个工作日内制作《税务事项通知书》，告知纳税人自不符合规定当期起不再适用选择按照小规模纳税人纳税。</w:t>
      </w:r>
    </w:p>
    <w:p w14:paraId="4603F69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某小规模纳税人L，登记注册类型为非企业单位，2026年1月至12月年应征增值税销售额超过规定标准，因其不经常发生应税交易且主要业务不属于应税交易范围，2027年1月按规定流程办理选择按照小规模纳税人纳税。2027年5月，L的登记注册类型变更为企业，不再符合选择按照小规模纳税人纳税规定，根据规定，L应在2027年5月（变化当期）向主管税务机关书面报告，自2027年5月1日起不再适用选择按照小规模纳税人纳税的相关规定。若L未及时向主管税务机关报告相关情况，主管税务机关自发现起5个工作日内制作《税务事项通知书》，告知纳税人自2027年5月1日起不再适用选择按照小规模纳税人纳税。</w:t>
      </w:r>
    </w:p>
    <w:p w14:paraId="74D11F1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十七、纳税人办理一般纳税人登记相关事项，应留存备查什么资料？</w:t>
      </w:r>
    </w:p>
    <w:p w14:paraId="6607D06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十条规定，纳税人应将本公告规定涉及的相关资料留存备查。具体来看，纳税人按照《公告》第二条规定主动办理登记，应将会计核算健全说明等相关资料留存备查；纳税人符合《公告》第三条第二款规定偶然发生销售无形资产、转让不动产，应将销售发票或其他能够证明应税交易属于偶然发生的有关材料留存备查；纳税人按照《公告》第四条第二款、第九条第一款规定办理选择或者退出按照小规模纳税人纳税的，应将经营情况等有关材料留存备查。</w:t>
      </w:r>
    </w:p>
    <w:p w14:paraId="768F8105">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十八、纳税人在2026年1月增值税纳税申报期内办理2025年四季度或12月税款所属期小规模纳税人增值税申报，年应征增值税销售额超过规定标准，一般纳税人生效之日如何确定？</w:t>
      </w:r>
    </w:p>
    <w:p w14:paraId="59902830">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《公告》第十一条第一款规定，纳税人办理2025年四季度或12月税款所属期小规模纳税人增值税申报，年应征增值税销售额超过规定标准的，一般纳税人生效之日为2026年1月1日。</w:t>
      </w:r>
    </w:p>
    <w:p w14:paraId="54E5A78C">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举例说明：按季申报的批发零售业小规模纳税人M，2026年1月申报期办理2025年四季度纳税申报，年应征增值税销售额超过规定标准，M应在2026年1月申报期内办理一般纳税人登记，生效之日为2026年1月1日。</w:t>
      </w:r>
    </w:p>
    <w:p w14:paraId="5F650BE8">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十九、《公告》施行前，已经按销售额依照增值税税率计算应纳税额、不得抵扣进项税额的纳税人，应如何处理？</w:t>
      </w:r>
    </w:p>
    <w:p w14:paraId="23BBC3B6">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根据《公告》第十一条第三款规定，对2026年1月1日前已经按销售额依照增值税税率计算应纳税额、不得抵扣进项税额的纳税人，一般纳税人生效之日为2026年1月1日，纳税人按照一般计税方法计算缴纳增值税，并可抵扣进项税额。</w:t>
      </w:r>
    </w:p>
    <w:p w14:paraId="6E9476AF">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二十、按照辅导期一般纳税人管理的纳税人，《公告》施行后，是否继续按照辅导期一般纳税人进行管理？此前因增领专用发票发生的预缴增值税有余额的，应如何处理？</w:t>
      </w:r>
    </w:p>
    <w:p w14:paraId="33DA36E1">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00" w:lineRule="atLeast"/>
        <w:ind w:left="0" w:right="0" w:firstLine="54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公告》第十一条第四款规定，自2026年1月1日起，停止实行增值税一般纳税人纳税辅导期管理。实行增值税一般纳税人纳税辅导期管理的一般纳税人因增领增值税专用发票发生的预缴增值税有余额的，可用于抵减增值税税款或向主管税务机关申请退还。</w:t>
      </w:r>
    </w:p>
    <w:p w14:paraId="0CF51E2E">
      <w:pPr>
        <w:pStyle w:val="21"/>
        <w:spacing w:before="240" w:after="240" w:line="540" w:lineRule="atLeast"/>
        <w:ind w:firstLine="480"/>
        <w:jc w:val="both"/>
        <w:rPr>
          <w:rFonts w:hint="eastAsia"/>
        </w:rPr>
      </w:pPr>
    </w:p>
    <w:p w14:paraId="3A5424B6"/>
    <w:p w14:paraId="19755658">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p>
    <w:p w14:paraId="3DEFE5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65734E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27251B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575E03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522784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32F1B9A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2A506C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11C0B0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iCs w:val="0"/>
          <w:caps w:val="0"/>
          <w:color w:val="333333"/>
          <w:spacing w:val="0"/>
          <w:sz w:val="21"/>
          <w:szCs w:val="21"/>
        </w:rPr>
      </w:pPr>
    </w:p>
    <w:p w14:paraId="36947039"/>
    <w:p w14:paraId="77C6D0A4"/>
    <w:p w14:paraId="02A745F3"/>
    <w:p w14:paraId="2DCFB486">
      <w:pPr>
        <w:pStyle w:val="22"/>
        <w:spacing w:line="520" w:lineRule="exact"/>
        <w:jc w:val="both"/>
        <w:rPr>
          <w:rFonts w:ascii="宋体" w:hAnsi="宋体" w:eastAsia="宋体"/>
          <w:color w:val="FFFFFF" w:themeColor="background1"/>
          <w14:textFill>
            <w14:solidFill>
              <w14:schemeClr w14:val="bg1"/>
            </w14:solidFill>
          </w14:textFill>
        </w:rPr>
      </w:pPr>
      <w:bookmarkStart w:id="56" w:name="_Toc140334232"/>
      <w:bookmarkStart w:id="57" w:name="_Toc28280"/>
      <w:r>
        <w:rPr>
          <w:rFonts w:hint="eastAsia" w:ascii="宋体" w:hAnsi="宋体" w:eastAsia="宋体"/>
          <w:color w:val="FFFFFF" w:themeColor="background1"/>
          <w:highlight w:val="darkGray"/>
          <w14:textFill>
            <w14:solidFill>
              <w14:schemeClr w14:val="bg1"/>
            </w14:solidFill>
          </w14:textFill>
        </w:rPr>
        <w:t>专业</w:t>
      </w:r>
      <w:r>
        <w:rPr>
          <w:rFonts w:ascii="宋体" w:hAnsi="宋体" w:eastAsia="宋体"/>
          <w:color w:val="FFFFFF" w:themeColor="background1"/>
          <w:highlight w:val="darkGray"/>
          <w14:textFill>
            <w14:solidFill>
              <w14:schemeClr w14:val="bg1"/>
            </w14:solidFill>
          </w14:textFill>
        </w:rPr>
        <w:t>委员会</w:t>
      </w:r>
      <w:r>
        <w:rPr>
          <w:rFonts w:hint="eastAsia" w:ascii="宋体" w:hAnsi="宋体" w:eastAsia="宋体"/>
          <w:color w:val="FFFFFF" w:themeColor="background1"/>
          <w:highlight w:val="darkGray"/>
          <w14:textFill>
            <w14:solidFill>
              <w14:schemeClr w14:val="bg1"/>
            </w14:solidFill>
          </w14:textFill>
        </w:rPr>
        <w:t>介绍</w:t>
      </w:r>
      <w:bookmarkEnd w:id="56"/>
      <w:bookmarkEnd w:id="57"/>
    </w:p>
    <w:p w14:paraId="44595481">
      <w:pPr>
        <w:pStyle w:val="31"/>
        <w:widowControl/>
        <w:spacing w:beforeLines="50" w:afterLines="50" w:line="520" w:lineRule="exact"/>
        <w:ind w:firstLine="480"/>
        <w:rPr>
          <w:rFonts w:ascii="宋体" w:hAnsi="宋体" w:eastAsia="宋体" w:cs="宋体"/>
          <w:color w:val="333333"/>
          <w:kern w:val="0"/>
          <w:sz w:val="24"/>
        </w:rPr>
      </w:pPr>
      <w:r>
        <w:rPr>
          <w:rFonts w:ascii="宋体" w:hAnsi="宋体" w:eastAsia="宋体" w:cs="宋体"/>
          <w:color w:val="333333"/>
          <w:kern w:val="0"/>
          <w:sz w:val="24"/>
        </w:rPr>
        <w:t>深圳市律师协会税务法律专业委员会是深圳市律师协会根据律师业务的发展情况设置的、负责组织律师进行涉税法律服务的学习和交流、指导律师开展涉税业务活动的内部机构。其宗旨是组织律师积极学习、了解涉税领域专业知识，开展涉税法律服务的交流、研讨与合作，提高律师在涉税领域的业务素质和服务水平，促进律师涉税业务的专业化，增强深圳律师在涉税业务领域的整体实力。</w:t>
      </w:r>
    </w:p>
    <w:p w14:paraId="03736E38">
      <w:pPr>
        <w:pStyle w:val="31"/>
        <w:widowControl/>
        <w:spacing w:beforeLines="50" w:afterLines="50" w:line="520" w:lineRule="exact"/>
        <w:ind w:firstLine="480"/>
        <w:rPr>
          <w:rFonts w:ascii="宋体" w:hAnsi="宋体" w:eastAsia="宋体" w:cs="宋体"/>
          <w:color w:val="333333"/>
          <w:kern w:val="0"/>
          <w:sz w:val="24"/>
        </w:rPr>
      </w:pPr>
      <w:r>
        <w:rPr>
          <w:rFonts w:ascii="宋体" w:hAnsi="宋体" w:eastAsia="宋体" w:cs="宋体"/>
          <w:color w:val="333333"/>
          <w:kern w:val="0"/>
          <w:sz w:val="24"/>
        </w:rPr>
        <w:t>涉税法律业务是指律师接受客户委托，在商业模型构建、股权架构设计、投融资、并购重组、税务合规等非诉领域，以及涉税民事诉讼、税务听证、行政复议、税务行政、刑事辩护等诉讼领域，为客户提供专业的财税法律服务。</w:t>
      </w:r>
    </w:p>
    <w:p w14:paraId="38C81C6B">
      <w:pPr>
        <w:pStyle w:val="31"/>
        <w:widowControl/>
        <w:spacing w:beforeLines="50" w:afterLines="50" w:line="520" w:lineRule="exact"/>
        <w:ind w:firstLine="480"/>
        <w:rPr>
          <w:rFonts w:ascii="宋体" w:hAnsi="宋体" w:eastAsia="宋体" w:cs="宋体"/>
          <w:color w:val="333333"/>
          <w:kern w:val="0"/>
          <w:sz w:val="24"/>
        </w:rPr>
      </w:pPr>
      <w:r>
        <w:rPr>
          <w:rFonts w:ascii="宋体" w:hAnsi="宋体" w:eastAsia="宋体" w:cs="宋体"/>
          <w:color w:val="333333"/>
          <w:kern w:val="0"/>
          <w:sz w:val="24"/>
        </w:rPr>
        <w:t>本委员会致力于提高律师在涉税非诉领域和诉讼领域的法律服务水平，制定涉税业务相关操作指引，加强涉税法律服务的相关实务和理论研究，积极参加人大、政府和司法机关在涉税业务领域的法律法规、司法解释的征求意见与修订工作，逐步扩大深圳律师涉税业务在相关行业以及领域的影响力。</w:t>
      </w:r>
    </w:p>
    <w:p w14:paraId="558AAFB2">
      <w:pPr>
        <w:pStyle w:val="31"/>
        <w:widowControl/>
        <w:spacing w:beforeLines="50" w:afterLines="50" w:line="520" w:lineRule="exact"/>
        <w:ind w:firstLine="482"/>
        <w:rPr>
          <w:rFonts w:ascii="宋体" w:hAnsi="宋体" w:eastAsia="宋体" w:cs="宋体"/>
          <w:b/>
          <w:bCs/>
          <w:color w:val="333333"/>
          <w:kern w:val="0"/>
          <w:sz w:val="24"/>
        </w:rPr>
      </w:pPr>
      <w:r>
        <w:rPr>
          <w:rFonts w:ascii="宋体" w:hAnsi="宋体" w:eastAsia="宋体" w:cs="宋体"/>
          <w:b/>
          <w:bCs/>
          <w:color w:val="333333"/>
          <w:kern w:val="0"/>
          <w:sz w:val="24"/>
        </w:rPr>
        <w:t>委员会成员</w:t>
      </w:r>
    </w:p>
    <w:p w14:paraId="0220E8BC">
      <w:pPr>
        <w:pStyle w:val="31"/>
        <w:widowControl/>
        <w:spacing w:beforeLines="50" w:afterLines="50" w:line="520" w:lineRule="exact"/>
        <w:ind w:firstLine="482"/>
        <w:rPr>
          <w:rFonts w:ascii="宋体" w:hAnsi="宋体" w:eastAsia="宋体" w:cs="宋体"/>
          <w:color w:val="333333"/>
          <w:kern w:val="0"/>
          <w:sz w:val="24"/>
        </w:rPr>
      </w:pPr>
      <w:r>
        <w:rPr>
          <w:rFonts w:ascii="宋体" w:hAnsi="宋体" w:eastAsia="宋体" w:cs="宋体"/>
          <w:b/>
          <w:bCs/>
          <w:color w:val="333333"/>
          <w:kern w:val="0"/>
          <w:sz w:val="24"/>
        </w:rPr>
        <w:t>主任：</w:t>
      </w:r>
      <w:r>
        <w:rPr>
          <w:rFonts w:ascii="宋体" w:hAnsi="宋体" w:eastAsia="宋体" w:cs="宋体"/>
          <w:color w:val="333333"/>
          <w:kern w:val="0"/>
          <w:sz w:val="24"/>
        </w:rPr>
        <w:t>吕志合（康达所）</w:t>
      </w:r>
    </w:p>
    <w:p w14:paraId="0B592954">
      <w:pPr>
        <w:pStyle w:val="31"/>
        <w:widowControl/>
        <w:spacing w:beforeLines="50" w:afterLines="50" w:line="520" w:lineRule="exact"/>
        <w:ind w:firstLine="482"/>
        <w:rPr>
          <w:rFonts w:ascii="宋体" w:hAnsi="宋体" w:eastAsia="宋体" w:cs="宋体"/>
          <w:color w:val="333333"/>
          <w:kern w:val="0"/>
          <w:sz w:val="24"/>
        </w:rPr>
      </w:pPr>
      <w:r>
        <w:rPr>
          <w:rFonts w:ascii="宋体" w:hAnsi="宋体" w:eastAsia="宋体" w:cs="宋体"/>
          <w:b/>
          <w:bCs/>
          <w:color w:val="333333"/>
          <w:kern w:val="0"/>
          <w:sz w:val="24"/>
        </w:rPr>
        <w:t>副主任：</w:t>
      </w:r>
      <w:r>
        <w:rPr>
          <w:rFonts w:ascii="宋体" w:hAnsi="宋体" w:eastAsia="宋体" w:cs="宋体"/>
          <w:color w:val="333333"/>
          <w:kern w:val="0"/>
          <w:sz w:val="24"/>
        </w:rPr>
        <w:t>诸乘佑（大成所）、孙伟（锦天城）、杨声（瀛尊所）</w:t>
      </w:r>
    </w:p>
    <w:p w14:paraId="2A64752F">
      <w:pPr>
        <w:pStyle w:val="31"/>
        <w:widowControl/>
        <w:spacing w:beforeLines="50" w:afterLines="50" w:line="520" w:lineRule="exact"/>
        <w:ind w:firstLine="482"/>
        <w:rPr>
          <w:rFonts w:ascii="宋体" w:hAnsi="宋体" w:eastAsia="宋体" w:cs="宋体"/>
          <w:color w:val="333333"/>
          <w:kern w:val="0"/>
          <w:sz w:val="24"/>
        </w:rPr>
      </w:pPr>
      <w:r>
        <w:rPr>
          <w:rFonts w:ascii="宋体" w:hAnsi="宋体" w:eastAsia="宋体" w:cs="宋体"/>
          <w:b/>
          <w:bCs/>
          <w:color w:val="333333"/>
          <w:kern w:val="0"/>
          <w:sz w:val="24"/>
        </w:rPr>
        <w:t>秘书长：</w:t>
      </w:r>
      <w:r>
        <w:rPr>
          <w:rFonts w:ascii="宋体" w:hAnsi="宋体" w:eastAsia="宋体" w:cs="宋体"/>
          <w:color w:val="333333"/>
          <w:kern w:val="0"/>
          <w:sz w:val="24"/>
        </w:rPr>
        <w:t>强甜甜（京师所）</w:t>
      </w:r>
    </w:p>
    <w:p w14:paraId="23CAD153">
      <w:pPr>
        <w:pStyle w:val="31"/>
        <w:widowControl/>
        <w:spacing w:beforeLines="50" w:afterLines="50" w:line="520" w:lineRule="exact"/>
        <w:ind w:firstLine="482"/>
        <w:rPr>
          <w:rFonts w:ascii="宋体" w:hAnsi="宋体" w:eastAsia="宋体" w:cs="宋体"/>
          <w:color w:val="333333"/>
          <w:kern w:val="0"/>
          <w:sz w:val="24"/>
        </w:rPr>
      </w:pPr>
      <w:r>
        <w:rPr>
          <w:rFonts w:ascii="宋体" w:hAnsi="宋体" w:eastAsia="宋体" w:cs="宋体"/>
          <w:b/>
          <w:bCs/>
          <w:color w:val="333333"/>
          <w:kern w:val="0"/>
          <w:sz w:val="24"/>
        </w:rPr>
        <w:t>副秘书长：</w:t>
      </w:r>
      <w:r>
        <w:rPr>
          <w:rFonts w:ascii="宋体" w:hAnsi="宋体" w:eastAsia="宋体" w:cs="宋体"/>
          <w:color w:val="333333"/>
          <w:kern w:val="0"/>
          <w:sz w:val="24"/>
        </w:rPr>
        <w:t>李慧芳（泰和泰所）</w:t>
      </w:r>
    </w:p>
    <w:p w14:paraId="6A8F2A6F">
      <w:pPr>
        <w:pStyle w:val="31"/>
        <w:widowControl/>
        <w:spacing w:beforeLines="50" w:afterLines="50" w:line="520" w:lineRule="exact"/>
        <w:ind w:firstLine="482"/>
        <w:rPr>
          <w:rFonts w:ascii="宋体" w:hAnsi="宋体" w:eastAsia="宋体" w:cs="宋体"/>
          <w:b/>
          <w:bCs/>
          <w:color w:val="333333"/>
          <w:kern w:val="0"/>
          <w:sz w:val="24"/>
        </w:rPr>
      </w:pPr>
      <w:r>
        <w:rPr>
          <w:rFonts w:ascii="宋体" w:hAnsi="宋体" w:eastAsia="宋体" w:cs="宋体"/>
          <w:b/>
          <w:bCs/>
          <w:color w:val="333333"/>
          <w:kern w:val="0"/>
          <w:sz w:val="24"/>
        </w:rPr>
        <w:t>委员及干事：</w:t>
      </w:r>
    </w:p>
    <w:p w14:paraId="74FD2EA3">
      <w:pPr>
        <w:pStyle w:val="31"/>
        <w:widowControl/>
        <w:spacing w:beforeLines="50" w:afterLines="50" w:line="520" w:lineRule="exact"/>
        <w:ind w:firstLine="480"/>
        <w:rPr>
          <w:rFonts w:ascii="宋体" w:hAnsi="宋体" w:eastAsia="宋体" w:cs="宋体"/>
          <w:color w:val="333333"/>
          <w:kern w:val="0"/>
          <w:sz w:val="24"/>
        </w:rPr>
      </w:pPr>
      <w:r>
        <w:rPr>
          <w:rFonts w:ascii="宋体" w:hAnsi="宋体" w:eastAsia="宋体" w:cs="宋体"/>
          <w:color w:val="333333"/>
          <w:kern w:val="0"/>
          <w:sz w:val="24"/>
        </w:rPr>
        <w:t>梁敏、雷英、邓旭东、白银阶、黄桦、丁一粟、王永敬、王慧杰、吕红兵、李慧芳、吴寄帆、吴燕妮、沈莹、郑明伟、贺洪雷、徐仲锋、陶礼宁、蒋路生、程业勇、臧璟晖、邢梦野</w:t>
      </w:r>
      <w:r>
        <w:rPr>
          <w:rFonts w:hint="eastAsia" w:ascii="宋体" w:hAnsi="宋体" w:eastAsia="宋体" w:cs="宋体"/>
          <w:color w:val="333333"/>
          <w:kern w:val="0"/>
          <w:sz w:val="24"/>
        </w:rPr>
        <w:t>、严冬、林奕彤、武欢、郑进平、石楚、张爱国、吴铭。</w:t>
      </w:r>
    </w:p>
    <w:p w14:paraId="026D9102">
      <w:pPr>
        <w:pStyle w:val="31"/>
        <w:widowControl/>
        <w:spacing w:beforeLines="50" w:afterLines="50" w:line="520" w:lineRule="exact"/>
        <w:ind w:firstLine="200" w:firstLineChars="0"/>
        <w:jc w:val="right"/>
        <w:rPr>
          <w:rFonts w:ascii="宋体" w:hAnsi="宋体" w:eastAsia="宋体" w:cs="宋体"/>
          <w:b/>
          <w:color w:val="333333"/>
          <w:kern w:val="0"/>
          <w:sz w:val="24"/>
        </w:rPr>
      </w:pPr>
      <w:r>
        <w:rPr>
          <w:rFonts w:ascii="宋体" w:hAnsi="宋体" w:eastAsia="宋体" w:cs="宋体"/>
          <w:color w:val="333333"/>
          <w:kern w:val="0"/>
          <w:sz w:val="24"/>
        </w:rPr>
        <w:t>202</w:t>
      </w:r>
      <w:r>
        <w:rPr>
          <w:rFonts w:hint="eastAsia" w:ascii="宋体" w:hAnsi="宋体" w:eastAsia="宋体" w:cs="宋体"/>
          <w:color w:val="333333"/>
          <w:kern w:val="0"/>
          <w:sz w:val="24"/>
          <w:lang w:val="en-US" w:eastAsia="zh-CN"/>
        </w:rPr>
        <w:t>6</w:t>
      </w:r>
      <w:r>
        <w:rPr>
          <w:rFonts w:ascii="宋体" w:hAnsi="宋体" w:eastAsia="宋体" w:cs="宋体"/>
          <w:color w:val="333333"/>
          <w:kern w:val="0"/>
          <w:sz w:val="24"/>
        </w:rPr>
        <w:t>年</w:t>
      </w:r>
      <w:r>
        <w:rPr>
          <w:rFonts w:hint="eastAsia" w:ascii="宋体" w:hAnsi="宋体" w:eastAsia="宋体" w:cs="宋体"/>
          <w:color w:val="333333"/>
          <w:kern w:val="0"/>
          <w:sz w:val="24"/>
          <w:lang w:val="en-US" w:eastAsia="zh-CN"/>
        </w:rPr>
        <w:t>3</w:t>
      </w:r>
      <w:r>
        <w:rPr>
          <w:rFonts w:ascii="宋体" w:hAnsi="宋体" w:eastAsia="宋体" w:cs="宋体"/>
          <w:color w:val="333333"/>
          <w:kern w:val="0"/>
          <w:sz w:val="24"/>
        </w:rPr>
        <w:t>月</w:t>
      </w:r>
      <w:r>
        <w:rPr>
          <w:rFonts w:hint="eastAsia" w:ascii="宋体" w:hAnsi="宋体" w:eastAsia="宋体" w:cs="宋体"/>
          <w:color w:val="333333"/>
          <w:kern w:val="0"/>
          <w:sz w:val="24"/>
          <w:lang w:val="en-US" w:eastAsia="zh-CN"/>
        </w:rPr>
        <w:t>17</w:t>
      </w:r>
      <w:r>
        <w:rPr>
          <w:rFonts w:ascii="宋体" w:hAnsi="宋体" w:eastAsia="宋体" w:cs="宋体"/>
          <w:color w:val="333333"/>
          <w:kern w:val="0"/>
          <w:sz w:val="24"/>
        </w:rPr>
        <w:t>日</w:t>
      </w:r>
    </w:p>
    <w:p w14:paraId="2B45C911">
      <w:pPr>
        <w:pStyle w:val="31"/>
        <w:widowControl/>
        <w:spacing w:beforeLines="50" w:afterLines="50" w:line="520" w:lineRule="exact"/>
        <w:ind w:firstLine="0" w:firstLineChars="0"/>
        <w:jc w:val="left"/>
        <w:rPr>
          <w:rFonts w:ascii="宋体" w:hAnsi="宋体" w:eastAsia="宋体" w:cs="宋体"/>
          <w:b/>
          <w:color w:val="333333"/>
          <w:kern w:val="0"/>
          <w:sz w:val="24"/>
        </w:rPr>
      </w:pPr>
      <w:r>
        <w:rPr>
          <w:rFonts w:hint="eastAsia" w:ascii="宋体" w:hAnsi="宋体" w:eastAsia="宋体" w:cs="宋体"/>
          <w:b/>
          <w:color w:val="333333"/>
          <w:kern w:val="0"/>
          <w:sz w:val="24"/>
        </w:rPr>
        <w:t>[附：本月资讯来源链接]</w:t>
      </w:r>
    </w:p>
    <w:p w14:paraId="55FDC30C">
      <w:pPr>
        <w:pStyle w:val="31"/>
        <w:widowControl/>
        <w:spacing w:beforeLines="50" w:afterLines="50" w:line="520" w:lineRule="exact"/>
        <w:ind w:firstLine="0" w:firstLineChars="0"/>
        <w:jc w:val="left"/>
        <w:rPr>
          <w:rFonts w:ascii="宋体" w:hAnsi="宋体" w:eastAsia="宋体" w:cs="宋体"/>
          <w:color w:val="333333"/>
          <w:kern w:val="0"/>
          <w:sz w:val="24"/>
        </w:rPr>
      </w:pPr>
      <w:r>
        <w:rPr>
          <w:rFonts w:hint="eastAsia" w:ascii="宋体" w:hAnsi="宋体" w:eastAsia="宋体" w:cs="宋体"/>
          <w:color w:val="333333"/>
          <w:kern w:val="0"/>
          <w:sz w:val="24"/>
        </w:rPr>
        <w:t xml:space="preserve">行业资讯来源：国家税务总局网站 </w:t>
      </w:r>
      <w:r>
        <w:rPr>
          <w:rFonts w:hint="eastAsia"/>
        </w:rPr>
        <w:t>https://www.chinatax.gov.cn/chinatax/n810219//index.html</w:t>
      </w:r>
    </w:p>
    <w:p w14:paraId="354C9FC4">
      <w:pPr>
        <w:pStyle w:val="31"/>
        <w:widowControl/>
        <w:spacing w:beforeLines="50" w:afterLines="50" w:line="520" w:lineRule="exact"/>
        <w:ind w:firstLine="0" w:firstLineChars="0"/>
        <w:jc w:val="left"/>
        <w:rPr>
          <w:rFonts w:ascii="宋体" w:hAnsi="宋体" w:eastAsia="宋体" w:cs="宋体"/>
          <w:color w:val="333333"/>
          <w:kern w:val="0"/>
          <w:sz w:val="24"/>
        </w:rPr>
      </w:pPr>
      <w:r>
        <w:rPr>
          <w:rFonts w:hint="eastAsia" w:ascii="宋体" w:hAnsi="宋体" w:eastAsia="宋体" w:cs="宋体"/>
          <w:color w:val="333333"/>
          <w:kern w:val="0"/>
          <w:sz w:val="24"/>
        </w:rPr>
        <w:t>涉税案件分享来源：国家税务总局网站</w:t>
      </w:r>
      <w:r>
        <w:rPr>
          <w:rFonts w:hint="eastAsia"/>
        </w:rPr>
        <w:t>https://www.chinatax.gov.cn/chinatax/n810219/c102025/common_listwyc.html</w:t>
      </w:r>
    </w:p>
    <w:p w14:paraId="1859A6EC">
      <w:pPr>
        <w:pStyle w:val="31"/>
        <w:widowControl/>
        <w:spacing w:beforeLines="50" w:afterLines="50" w:line="520" w:lineRule="exact"/>
        <w:ind w:firstLine="0" w:firstLineChars="0"/>
        <w:jc w:val="left"/>
        <w:rPr>
          <w:rFonts w:hint="eastAsia" w:ascii="宋体" w:hAnsi="宋体" w:eastAsia="宋体" w:cs="宋体"/>
          <w:color w:val="333333"/>
          <w:kern w:val="0"/>
          <w:sz w:val="24"/>
        </w:rPr>
      </w:pPr>
      <w:r>
        <w:rPr>
          <w:rFonts w:hint="eastAsia" w:ascii="宋体" w:hAnsi="宋体" w:eastAsia="宋体" w:cs="宋体"/>
          <w:color w:val="333333"/>
          <w:kern w:val="0"/>
          <w:sz w:val="24"/>
        </w:rPr>
        <w:t xml:space="preserve">税收政策速递来源：国家税务总局网站 </w:t>
      </w:r>
    </w:p>
    <w:p w14:paraId="7002E17D">
      <w:pPr>
        <w:pStyle w:val="31"/>
        <w:widowControl/>
        <w:spacing w:beforeLines="50" w:afterLines="50" w:line="520" w:lineRule="exact"/>
        <w:ind w:firstLine="0" w:firstLineChars="0"/>
        <w:jc w:val="left"/>
        <w:rPr>
          <w:rFonts w:ascii="宋体" w:hAnsi="宋体" w:eastAsia="宋体" w:cs="宋体"/>
          <w:color w:val="333333"/>
          <w:kern w:val="0"/>
          <w:sz w:val="24"/>
        </w:rPr>
      </w:pPr>
      <w:r>
        <w:rPr>
          <w:rFonts w:hint="eastAsia" w:ascii="宋体" w:hAnsi="宋体" w:eastAsia="宋体" w:cs="宋体"/>
          <w:color w:val="333333"/>
          <w:kern w:val="0"/>
          <w:sz w:val="24"/>
        </w:rPr>
        <w:t>https://fgk.chinatax.gov.cn/</w:t>
      </w:r>
    </w:p>
    <w:p w14:paraId="282E741D">
      <w:pPr>
        <w:pStyle w:val="31"/>
        <w:widowControl/>
        <w:spacing w:beforeLines="50" w:afterLines="50" w:line="520" w:lineRule="exact"/>
        <w:ind w:firstLine="0" w:firstLineChars="0"/>
        <w:jc w:val="left"/>
        <w:rPr>
          <w:rFonts w:ascii="宋体" w:hAnsi="宋体" w:eastAsia="宋体" w:cs="宋体"/>
          <w:color w:val="333333"/>
          <w:kern w:val="0"/>
          <w:sz w:val="24"/>
        </w:rPr>
      </w:pPr>
    </w:p>
    <w:p w14:paraId="4CDEB79A">
      <w:pPr>
        <w:pStyle w:val="31"/>
        <w:widowControl/>
        <w:spacing w:beforeLines="50" w:afterLines="50" w:line="520" w:lineRule="exact"/>
        <w:ind w:firstLine="0" w:firstLineChars="0"/>
        <w:jc w:val="left"/>
        <w:rPr>
          <w:rFonts w:ascii="宋体" w:hAnsi="宋体" w:eastAsia="宋体" w:cs="宋体"/>
          <w:color w:val="333333"/>
          <w:kern w:val="0"/>
          <w:sz w:val="24"/>
        </w:rPr>
      </w:pPr>
    </w:p>
    <w:sectPr>
      <w:footerReference r:id="rId9" w:type="firs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imSun-ExtB">
    <w:panose1 w:val="02010609060101010101"/>
    <w:charset w:val="86"/>
    <w:family w:val="modern"/>
    <w:pitch w:val="default"/>
    <w:sig w:usb0="00000001" w:usb1="02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socialshar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6"/>
      </w:rPr>
      <w:id w:val="1545944754"/>
      <w:docPartObj>
        <w:docPartGallery w:val="autotext"/>
      </w:docPartObj>
    </w:sdtPr>
    <w:sdtEndPr>
      <w:rPr>
        <w:rStyle w:val="26"/>
      </w:rPr>
    </w:sdtEndPr>
    <w:sdtContent>
      <w:p w14:paraId="25988EE4">
        <w:pPr>
          <w:pStyle w:val="13"/>
          <w:framePr w:wrap="auto" w:vAnchor="text" w:hAnchor="margin" w:xAlign="center" w:y="1"/>
          <w:rPr>
            <w:rStyle w:val="26"/>
          </w:rPr>
        </w:pPr>
        <w:r>
          <w:rPr>
            <w:rStyle w:val="26"/>
          </w:rPr>
          <w:fldChar w:fldCharType="begin"/>
        </w:r>
        <w:r>
          <w:rPr>
            <w:rStyle w:val="26"/>
          </w:rPr>
          <w:instrText xml:space="preserve"> PAGE </w:instrText>
        </w:r>
        <w:r>
          <w:rPr>
            <w:rStyle w:val="26"/>
          </w:rPr>
          <w:fldChar w:fldCharType="separate"/>
        </w:r>
        <w:r>
          <w:rPr>
            <w:rStyle w:val="26"/>
          </w:rPr>
          <w:t>55</w:t>
        </w:r>
        <w:r>
          <w:rPr>
            <w:rStyle w:val="26"/>
          </w:rPr>
          <w:fldChar w:fldCharType="end"/>
        </w:r>
      </w:p>
    </w:sdtContent>
  </w:sdt>
  <w:p w14:paraId="7498F52C">
    <w:pPr>
      <w:pStyle w:val="1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6"/>
      </w:rPr>
      <w:id w:val="-1680886328"/>
      <w:docPartObj>
        <w:docPartGallery w:val="autotext"/>
      </w:docPartObj>
    </w:sdtPr>
    <w:sdtEndPr>
      <w:rPr>
        <w:rStyle w:val="26"/>
      </w:rPr>
    </w:sdtEndPr>
    <w:sdtContent>
      <w:p w14:paraId="56E535F0">
        <w:pPr>
          <w:pStyle w:val="13"/>
          <w:framePr w:wrap="auto" w:vAnchor="text" w:hAnchor="margin" w:xAlign="center" w:y="1"/>
          <w:rPr>
            <w:rStyle w:val="26"/>
          </w:rPr>
        </w:pPr>
        <w:r>
          <w:rPr>
            <w:rStyle w:val="26"/>
          </w:rPr>
          <w:fldChar w:fldCharType="begin"/>
        </w:r>
        <w:r>
          <w:rPr>
            <w:rStyle w:val="26"/>
          </w:rPr>
          <w:instrText xml:space="preserve"> PAGE </w:instrText>
        </w:r>
        <w:r>
          <w:rPr>
            <w:rStyle w:val="26"/>
          </w:rPr>
          <w:fldChar w:fldCharType="separate"/>
        </w:r>
        <w:r>
          <w:rPr>
            <w:rStyle w:val="26"/>
          </w:rPr>
          <w:t>- 2 -</w:t>
        </w:r>
        <w:r>
          <w:rPr>
            <w:rStyle w:val="26"/>
          </w:rPr>
          <w:fldChar w:fldCharType="end"/>
        </w:r>
      </w:p>
    </w:sdtContent>
  </w:sdt>
  <w:p w14:paraId="50E0D2AE">
    <w:pPr>
      <w:pStyle w:val="13"/>
      <w:framePr w:wrap="auto" w:vAnchor="text" w:hAnchor="margin" w:xAlign="center" w:y="1"/>
      <w:rPr>
        <w:rStyle w:val="26"/>
      </w:rPr>
    </w:pPr>
  </w:p>
  <w:p w14:paraId="2972231E">
    <w:pPr>
      <w:pStyle w:val="1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988C6">
    <w:pPr>
      <w:pStyle w:val="1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52D71">
    <w:pPr>
      <w:pStyle w:val="13"/>
      <w:framePr w:wrap="auto" w:vAnchor="text" w:hAnchor="margin" w:xAlign="center" w:y="1"/>
      <w:rPr>
        <w:rStyle w:val="26"/>
      </w:rPr>
    </w:pPr>
    <w:r>
      <w:rPr>
        <w:rStyle w:val="26"/>
      </w:rPr>
      <w:fldChar w:fldCharType="begin"/>
    </w:r>
    <w:r>
      <w:rPr>
        <w:rStyle w:val="26"/>
      </w:rPr>
      <w:instrText xml:space="preserve"> PAGE </w:instrText>
    </w:r>
    <w:r>
      <w:rPr>
        <w:rStyle w:val="26"/>
      </w:rPr>
      <w:fldChar w:fldCharType="separate"/>
    </w:r>
    <w:r>
      <w:rPr>
        <w:rStyle w:val="26"/>
      </w:rPr>
      <w:t>1</w:t>
    </w:r>
    <w:r>
      <w:rPr>
        <w:rStyle w:val="26"/>
      </w:rPr>
      <w:fldChar w:fldCharType="end"/>
    </w:r>
  </w:p>
  <w:p w14:paraId="3EBCAD50">
    <w:pPr>
      <w:pStyle w:val="1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29D53">
    <w:pPr>
      <w:pStyle w:val="14"/>
      <w:jc w:val="right"/>
    </w:pPr>
    <w:r>
      <w:t>深圳市律师协会税务法律专业委员</w:t>
    </w:r>
    <w:r>
      <w:rPr>
        <w:rFonts w:hint="eastAsia"/>
      </w:rPr>
      <w:t>会</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82491">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CBD4C">
    <w:pPr>
      <w:pStyle w:val="14"/>
      <w:jc w:val="right"/>
    </w:pPr>
    <w:r>
      <w:t>深圳市律师协会税务法律专业委员</w:t>
    </w:r>
    <w:r>
      <w:rPr>
        <w:rFonts w:hint="eastAsia"/>
      </w:rPr>
      <w:t>会</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2ZDJkZDcwYjFjNjJlYTk4M2FkOWI0NmYzNWU0ZDYifQ=="/>
  </w:docVars>
  <w:rsids>
    <w:rsidRoot w:val="002C1591"/>
    <w:rsid w:val="000071AD"/>
    <w:rsid w:val="00020920"/>
    <w:rsid w:val="000266E7"/>
    <w:rsid w:val="00040085"/>
    <w:rsid w:val="000408A4"/>
    <w:rsid w:val="00062566"/>
    <w:rsid w:val="00063A1E"/>
    <w:rsid w:val="00063B32"/>
    <w:rsid w:val="00066687"/>
    <w:rsid w:val="00073401"/>
    <w:rsid w:val="0007351B"/>
    <w:rsid w:val="00074B80"/>
    <w:rsid w:val="0008761E"/>
    <w:rsid w:val="00090B0F"/>
    <w:rsid w:val="00093A4E"/>
    <w:rsid w:val="000B3B3E"/>
    <w:rsid w:val="000B3C59"/>
    <w:rsid w:val="000B7E42"/>
    <w:rsid w:val="000C59F7"/>
    <w:rsid w:val="000C6C75"/>
    <w:rsid w:val="000D1A8B"/>
    <w:rsid w:val="000D1F34"/>
    <w:rsid w:val="000E5565"/>
    <w:rsid w:val="001019BB"/>
    <w:rsid w:val="00121322"/>
    <w:rsid w:val="001459C4"/>
    <w:rsid w:val="00153DBC"/>
    <w:rsid w:val="001600E9"/>
    <w:rsid w:val="001907E1"/>
    <w:rsid w:val="00192B69"/>
    <w:rsid w:val="001958A2"/>
    <w:rsid w:val="001E665E"/>
    <w:rsid w:val="00202DE4"/>
    <w:rsid w:val="00205E23"/>
    <w:rsid w:val="002123A8"/>
    <w:rsid w:val="0022489A"/>
    <w:rsid w:val="00236E9E"/>
    <w:rsid w:val="002614F3"/>
    <w:rsid w:val="00261837"/>
    <w:rsid w:val="00263094"/>
    <w:rsid w:val="00292F79"/>
    <w:rsid w:val="002A2A55"/>
    <w:rsid w:val="002A6AEA"/>
    <w:rsid w:val="002C1591"/>
    <w:rsid w:val="002D6483"/>
    <w:rsid w:val="003125B2"/>
    <w:rsid w:val="003265A8"/>
    <w:rsid w:val="00331EAA"/>
    <w:rsid w:val="003343CD"/>
    <w:rsid w:val="003719C7"/>
    <w:rsid w:val="00374D8C"/>
    <w:rsid w:val="00385631"/>
    <w:rsid w:val="00385E40"/>
    <w:rsid w:val="00390463"/>
    <w:rsid w:val="003A3A80"/>
    <w:rsid w:val="003B7B00"/>
    <w:rsid w:val="003C160B"/>
    <w:rsid w:val="003D0B6E"/>
    <w:rsid w:val="003F58CE"/>
    <w:rsid w:val="00403334"/>
    <w:rsid w:val="004148E1"/>
    <w:rsid w:val="0041557D"/>
    <w:rsid w:val="00417839"/>
    <w:rsid w:val="00440D16"/>
    <w:rsid w:val="004455F4"/>
    <w:rsid w:val="00445E0E"/>
    <w:rsid w:val="004632D1"/>
    <w:rsid w:val="00463384"/>
    <w:rsid w:val="00473DA7"/>
    <w:rsid w:val="00491C81"/>
    <w:rsid w:val="00495E8F"/>
    <w:rsid w:val="004A1E5F"/>
    <w:rsid w:val="004A7BB2"/>
    <w:rsid w:val="004B0B8C"/>
    <w:rsid w:val="004F365D"/>
    <w:rsid w:val="00503255"/>
    <w:rsid w:val="0052370B"/>
    <w:rsid w:val="00532716"/>
    <w:rsid w:val="005351B8"/>
    <w:rsid w:val="00541BC3"/>
    <w:rsid w:val="0058492A"/>
    <w:rsid w:val="0059169B"/>
    <w:rsid w:val="005B02A1"/>
    <w:rsid w:val="005C186E"/>
    <w:rsid w:val="005E56E1"/>
    <w:rsid w:val="00604323"/>
    <w:rsid w:val="0061624F"/>
    <w:rsid w:val="006231B6"/>
    <w:rsid w:val="0064530F"/>
    <w:rsid w:val="00652602"/>
    <w:rsid w:val="00661CD4"/>
    <w:rsid w:val="0066398C"/>
    <w:rsid w:val="00665824"/>
    <w:rsid w:val="006817FA"/>
    <w:rsid w:val="00684872"/>
    <w:rsid w:val="00685AEC"/>
    <w:rsid w:val="006C0F6B"/>
    <w:rsid w:val="006F331F"/>
    <w:rsid w:val="007150E2"/>
    <w:rsid w:val="007318AD"/>
    <w:rsid w:val="0073528B"/>
    <w:rsid w:val="00735B6F"/>
    <w:rsid w:val="00736C92"/>
    <w:rsid w:val="00760963"/>
    <w:rsid w:val="0077436C"/>
    <w:rsid w:val="007846B8"/>
    <w:rsid w:val="007853B3"/>
    <w:rsid w:val="00797667"/>
    <w:rsid w:val="0079790C"/>
    <w:rsid w:val="007E0DAF"/>
    <w:rsid w:val="00816C30"/>
    <w:rsid w:val="00824E7B"/>
    <w:rsid w:val="00832D96"/>
    <w:rsid w:val="0083681B"/>
    <w:rsid w:val="0086190C"/>
    <w:rsid w:val="0087483D"/>
    <w:rsid w:val="00893838"/>
    <w:rsid w:val="008C2458"/>
    <w:rsid w:val="008C58FA"/>
    <w:rsid w:val="008D5CE6"/>
    <w:rsid w:val="00901B8F"/>
    <w:rsid w:val="00914D95"/>
    <w:rsid w:val="00916358"/>
    <w:rsid w:val="00923DE3"/>
    <w:rsid w:val="0092699C"/>
    <w:rsid w:val="00932AFE"/>
    <w:rsid w:val="00983B3E"/>
    <w:rsid w:val="009969D0"/>
    <w:rsid w:val="009C451E"/>
    <w:rsid w:val="009E13E1"/>
    <w:rsid w:val="009F73EF"/>
    <w:rsid w:val="00A04F05"/>
    <w:rsid w:val="00A336A7"/>
    <w:rsid w:val="00A44383"/>
    <w:rsid w:val="00A571AE"/>
    <w:rsid w:val="00A6582F"/>
    <w:rsid w:val="00A971B7"/>
    <w:rsid w:val="00AA34A9"/>
    <w:rsid w:val="00AF53F1"/>
    <w:rsid w:val="00B062F2"/>
    <w:rsid w:val="00B07989"/>
    <w:rsid w:val="00B338E7"/>
    <w:rsid w:val="00B84D41"/>
    <w:rsid w:val="00B976C2"/>
    <w:rsid w:val="00BD725D"/>
    <w:rsid w:val="00BF29F5"/>
    <w:rsid w:val="00C06289"/>
    <w:rsid w:val="00C13989"/>
    <w:rsid w:val="00C23826"/>
    <w:rsid w:val="00C41256"/>
    <w:rsid w:val="00C6713B"/>
    <w:rsid w:val="00C8334B"/>
    <w:rsid w:val="00C929D9"/>
    <w:rsid w:val="00C96A9C"/>
    <w:rsid w:val="00D0090A"/>
    <w:rsid w:val="00D375D7"/>
    <w:rsid w:val="00D45843"/>
    <w:rsid w:val="00D50BEC"/>
    <w:rsid w:val="00D50C2D"/>
    <w:rsid w:val="00D5695F"/>
    <w:rsid w:val="00D56C34"/>
    <w:rsid w:val="00DA24CD"/>
    <w:rsid w:val="00DC05C5"/>
    <w:rsid w:val="00DD0F00"/>
    <w:rsid w:val="00E21D31"/>
    <w:rsid w:val="00E44A1A"/>
    <w:rsid w:val="00E81B35"/>
    <w:rsid w:val="00E90642"/>
    <w:rsid w:val="00EA7C7C"/>
    <w:rsid w:val="00EC02EA"/>
    <w:rsid w:val="00ED4A80"/>
    <w:rsid w:val="00EE4D33"/>
    <w:rsid w:val="00EF1F34"/>
    <w:rsid w:val="00F13707"/>
    <w:rsid w:val="00F15A53"/>
    <w:rsid w:val="00F34BB0"/>
    <w:rsid w:val="00F400D7"/>
    <w:rsid w:val="00F84872"/>
    <w:rsid w:val="00F85793"/>
    <w:rsid w:val="00F974BC"/>
    <w:rsid w:val="00FA7E9D"/>
    <w:rsid w:val="00FB2B52"/>
    <w:rsid w:val="00FE1D74"/>
    <w:rsid w:val="00FE3BCB"/>
    <w:rsid w:val="00FF42A5"/>
    <w:rsid w:val="00FF5D5D"/>
    <w:rsid w:val="016F5478"/>
    <w:rsid w:val="0332621A"/>
    <w:rsid w:val="08853927"/>
    <w:rsid w:val="121F3E0E"/>
    <w:rsid w:val="157955E3"/>
    <w:rsid w:val="17C70888"/>
    <w:rsid w:val="18D21BDA"/>
    <w:rsid w:val="1A854C3B"/>
    <w:rsid w:val="1A905843"/>
    <w:rsid w:val="1AC272FD"/>
    <w:rsid w:val="1B585717"/>
    <w:rsid w:val="1CAD0994"/>
    <w:rsid w:val="1E675F3A"/>
    <w:rsid w:val="1FFE1506"/>
    <w:rsid w:val="28247630"/>
    <w:rsid w:val="2AB33B12"/>
    <w:rsid w:val="2BA51DE4"/>
    <w:rsid w:val="2CCE3185"/>
    <w:rsid w:val="34C576F3"/>
    <w:rsid w:val="36283BA1"/>
    <w:rsid w:val="38D8492E"/>
    <w:rsid w:val="3A9C74FA"/>
    <w:rsid w:val="3FFA0F4B"/>
    <w:rsid w:val="42784CF1"/>
    <w:rsid w:val="43695535"/>
    <w:rsid w:val="4A4A2ACF"/>
    <w:rsid w:val="4B0C247A"/>
    <w:rsid w:val="4C2C1865"/>
    <w:rsid w:val="4EC533B4"/>
    <w:rsid w:val="4F7C7BCE"/>
    <w:rsid w:val="503C110B"/>
    <w:rsid w:val="51CA4C5C"/>
    <w:rsid w:val="528B637A"/>
    <w:rsid w:val="53D02297"/>
    <w:rsid w:val="55AB0267"/>
    <w:rsid w:val="583354EA"/>
    <w:rsid w:val="59C07D51"/>
    <w:rsid w:val="5B7B7DDF"/>
    <w:rsid w:val="61A22D98"/>
    <w:rsid w:val="64852C29"/>
    <w:rsid w:val="6A627569"/>
    <w:rsid w:val="6E46167B"/>
    <w:rsid w:val="78C22246"/>
    <w:rsid w:val="7AB13815"/>
    <w:rsid w:val="7E0E1A8A"/>
    <w:rsid w:val="7FAE60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paragraph" w:styleId="2">
    <w:name w:val="heading 1"/>
    <w:basedOn w:val="1"/>
    <w:next w:val="1"/>
    <w:link w:val="37"/>
    <w:qFormat/>
    <w:uiPriority w:val="9"/>
    <w:pPr>
      <w:keepNext/>
      <w:keepLines/>
      <w:widowControl w:val="0"/>
      <w:spacing w:before="340" w:after="330" w:line="578" w:lineRule="auto"/>
      <w:jc w:val="both"/>
      <w:outlineLvl w:val="0"/>
    </w:pPr>
    <w:rPr>
      <w:rFonts w:eastAsia="SimSun-ExtB" w:asciiTheme="minorHAnsi" w:hAnsiTheme="minorHAnsi" w:cstheme="minorBidi"/>
      <w:b/>
      <w:bCs/>
      <w:kern w:val="44"/>
      <w:sz w:val="44"/>
      <w:szCs w:val="44"/>
    </w:rPr>
  </w:style>
  <w:style w:type="paragraph" w:styleId="3">
    <w:name w:val="heading 2"/>
    <w:basedOn w:val="1"/>
    <w:next w:val="1"/>
    <w:link w:val="44"/>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5"/>
    <w:basedOn w:val="1"/>
    <w:next w:val="1"/>
    <w:semiHidden/>
    <w:unhideWhenUsed/>
    <w:qFormat/>
    <w:uiPriority w:val="9"/>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semiHidden/>
    <w:unhideWhenUsed/>
    <w:qFormat/>
    <w:uiPriority w:val="39"/>
    <w:pPr>
      <w:widowControl w:val="0"/>
      <w:ind w:left="1260"/>
    </w:pPr>
    <w:rPr>
      <w:rFonts w:asciiTheme="minorHAnsi" w:hAnsiTheme="minorHAnsi" w:eastAsiaTheme="minorHAnsi" w:cstheme="minorBidi"/>
      <w:kern w:val="2"/>
      <w:sz w:val="20"/>
      <w:szCs w:val="20"/>
    </w:rPr>
  </w:style>
  <w:style w:type="paragraph" w:styleId="7">
    <w:name w:val="Document Map"/>
    <w:basedOn w:val="1"/>
    <w:link w:val="63"/>
    <w:semiHidden/>
    <w:unhideWhenUsed/>
    <w:qFormat/>
    <w:uiPriority w:val="99"/>
    <w:rPr>
      <w:sz w:val="18"/>
      <w:szCs w:val="18"/>
    </w:rPr>
  </w:style>
  <w:style w:type="paragraph" w:styleId="8">
    <w:name w:val="toc 5"/>
    <w:basedOn w:val="1"/>
    <w:next w:val="1"/>
    <w:semiHidden/>
    <w:unhideWhenUsed/>
    <w:qFormat/>
    <w:uiPriority w:val="39"/>
    <w:pPr>
      <w:widowControl w:val="0"/>
      <w:ind w:left="840"/>
    </w:pPr>
    <w:rPr>
      <w:rFonts w:asciiTheme="minorHAnsi" w:hAnsiTheme="minorHAnsi" w:eastAsiaTheme="minorHAnsi" w:cstheme="minorBidi"/>
      <w:kern w:val="2"/>
      <w:sz w:val="20"/>
      <w:szCs w:val="20"/>
    </w:rPr>
  </w:style>
  <w:style w:type="paragraph" w:styleId="9">
    <w:name w:val="toc 3"/>
    <w:basedOn w:val="1"/>
    <w:next w:val="1"/>
    <w:semiHidden/>
    <w:unhideWhenUsed/>
    <w:qFormat/>
    <w:uiPriority w:val="39"/>
    <w:pPr>
      <w:widowControl w:val="0"/>
      <w:ind w:left="420"/>
    </w:pPr>
    <w:rPr>
      <w:rFonts w:asciiTheme="minorHAnsi" w:hAnsiTheme="minorHAnsi" w:eastAsiaTheme="minorHAnsi" w:cstheme="minorBidi"/>
      <w:kern w:val="2"/>
      <w:sz w:val="20"/>
      <w:szCs w:val="20"/>
    </w:rPr>
  </w:style>
  <w:style w:type="paragraph" w:styleId="10">
    <w:name w:val="toc 8"/>
    <w:basedOn w:val="1"/>
    <w:next w:val="1"/>
    <w:semiHidden/>
    <w:unhideWhenUsed/>
    <w:qFormat/>
    <w:uiPriority w:val="39"/>
    <w:pPr>
      <w:widowControl w:val="0"/>
      <w:ind w:left="1470"/>
    </w:pPr>
    <w:rPr>
      <w:rFonts w:asciiTheme="minorHAnsi" w:hAnsiTheme="minorHAnsi" w:eastAsiaTheme="minorHAnsi" w:cstheme="minorBidi"/>
      <w:kern w:val="2"/>
      <w:sz w:val="20"/>
      <w:szCs w:val="20"/>
    </w:rPr>
  </w:style>
  <w:style w:type="paragraph" w:styleId="11">
    <w:name w:val="Date"/>
    <w:basedOn w:val="1"/>
    <w:next w:val="1"/>
    <w:link w:val="39"/>
    <w:semiHidden/>
    <w:unhideWhenUsed/>
    <w:qFormat/>
    <w:uiPriority w:val="99"/>
    <w:pPr>
      <w:widowControl w:val="0"/>
      <w:ind w:left="100" w:leftChars="2500"/>
      <w:jc w:val="both"/>
    </w:pPr>
    <w:rPr>
      <w:rFonts w:asciiTheme="minorHAnsi" w:hAnsiTheme="minorHAnsi" w:eastAsiaTheme="minorEastAsia" w:cstheme="minorBidi"/>
      <w:kern w:val="2"/>
      <w:sz w:val="21"/>
    </w:rPr>
  </w:style>
  <w:style w:type="paragraph" w:styleId="12">
    <w:name w:val="Balloon Text"/>
    <w:basedOn w:val="1"/>
    <w:link w:val="62"/>
    <w:semiHidden/>
    <w:unhideWhenUsed/>
    <w:qFormat/>
    <w:uiPriority w:val="99"/>
    <w:rPr>
      <w:sz w:val="18"/>
      <w:szCs w:val="18"/>
    </w:rPr>
  </w:style>
  <w:style w:type="paragraph" w:styleId="13">
    <w:name w:val="footer"/>
    <w:basedOn w:val="1"/>
    <w:link w:val="43"/>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14">
    <w:name w:val="header"/>
    <w:basedOn w:val="1"/>
    <w:link w:val="42"/>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15">
    <w:name w:val="toc 1"/>
    <w:basedOn w:val="1"/>
    <w:next w:val="1"/>
    <w:unhideWhenUsed/>
    <w:qFormat/>
    <w:uiPriority w:val="39"/>
    <w:pPr>
      <w:widowControl w:val="0"/>
      <w:tabs>
        <w:tab w:val="right" w:leader="dot" w:pos="8296"/>
      </w:tabs>
      <w:spacing w:before="120" w:line="360" w:lineRule="auto"/>
    </w:pPr>
    <w:rPr>
      <w:rFonts w:cstheme="minorBidi"/>
      <w:b/>
      <w:bCs/>
      <w:color w:val="FFFFFF" w:themeColor="background1"/>
      <w:kern w:val="2"/>
      <w:sz w:val="28"/>
      <w:szCs w:val="28"/>
      <w14:textFill>
        <w14:solidFill>
          <w14:schemeClr w14:val="bg1"/>
        </w14:solidFill>
      </w14:textFill>
    </w:rPr>
  </w:style>
  <w:style w:type="paragraph" w:styleId="16">
    <w:name w:val="toc 4"/>
    <w:basedOn w:val="1"/>
    <w:next w:val="1"/>
    <w:semiHidden/>
    <w:unhideWhenUsed/>
    <w:qFormat/>
    <w:uiPriority w:val="39"/>
    <w:pPr>
      <w:widowControl w:val="0"/>
      <w:ind w:left="630"/>
    </w:pPr>
    <w:rPr>
      <w:rFonts w:asciiTheme="minorHAnsi" w:hAnsiTheme="minorHAnsi" w:eastAsiaTheme="minorHAnsi" w:cstheme="minorBidi"/>
      <w:kern w:val="2"/>
      <w:sz w:val="20"/>
      <w:szCs w:val="20"/>
    </w:rPr>
  </w:style>
  <w:style w:type="paragraph" w:styleId="17">
    <w:name w:val="Subtitle"/>
    <w:basedOn w:val="1"/>
    <w:next w:val="1"/>
    <w:link w:val="36"/>
    <w:qFormat/>
    <w:uiPriority w:val="11"/>
    <w:pPr>
      <w:widowControl w:val="0"/>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18">
    <w:name w:val="toc 6"/>
    <w:basedOn w:val="1"/>
    <w:next w:val="1"/>
    <w:semiHidden/>
    <w:unhideWhenUsed/>
    <w:qFormat/>
    <w:uiPriority w:val="39"/>
    <w:pPr>
      <w:widowControl w:val="0"/>
      <w:ind w:left="1050"/>
    </w:pPr>
    <w:rPr>
      <w:rFonts w:asciiTheme="minorHAnsi" w:hAnsiTheme="minorHAnsi" w:eastAsiaTheme="minorHAnsi" w:cstheme="minorBidi"/>
      <w:kern w:val="2"/>
      <w:sz w:val="20"/>
      <w:szCs w:val="20"/>
    </w:rPr>
  </w:style>
  <w:style w:type="paragraph" w:styleId="19">
    <w:name w:val="toc 2"/>
    <w:basedOn w:val="1"/>
    <w:next w:val="1"/>
    <w:unhideWhenUsed/>
    <w:qFormat/>
    <w:uiPriority w:val="39"/>
    <w:pPr>
      <w:widowControl w:val="0"/>
      <w:spacing w:before="120"/>
      <w:ind w:left="210"/>
    </w:pPr>
    <w:rPr>
      <w:rFonts w:asciiTheme="minorHAnsi" w:hAnsiTheme="minorHAnsi" w:eastAsiaTheme="minorHAnsi" w:cstheme="minorBidi"/>
      <w:b/>
      <w:bCs/>
      <w:kern w:val="2"/>
      <w:sz w:val="22"/>
      <w:szCs w:val="22"/>
    </w:rPr>
  </w:style>
  <w:style w:type="paragraph" w:styleId="20">
    <w:name w:val="toc 9"/>
    <w:basedOn w:val="1"/>
    <w:next w:val="1"/>
    <w:semiHidden/>
    <w:unhideWhenUsed/>
    <w:qFormat/>
    <w:uiPriority w:val="39"/>
    <w:pPr>
      <w:widowControl w:val="0"/>
      <w:ind w:left="1680"/>
    </w:pPr>
    <w:rPr>
      <w:rFonts w:asciiTheme="minorHAnsi" w:hAnsiTheme="minorHAnsi" w:eastAsiaTheme="minorHAnsi" w:cstheme="minorBidi"/>
      <w:kern w:val="2"/>
      <w:sz w:val="20"/>
      <w:szCs w:val="20"/>
    </w:rPr>
  </w:style>
  <w:style w:type="paragraph" w:styleId="21">
    <w:name w:val="Normal (Web)"/>
    <w:basedOn w:val="1"/>
    <w:unhideWhenUsed/>
    <w:qFormat/>
    <w:uiPriority w:val="99"/>
    <w:pPr>
      <w:spacing w:before="100" w:beforeAutospacing="1" w:after="100" w:afterAutospacing="1"/>
    </w:pPr>
  </w:style>
  <w:style w:type="paragraph" w:styleId="22">
    <w:name w:val="Title"/>
    <w:basedOn w:val="1"/>
    <w:next w:val="1"/>
    <w:link w:val="35"/>
    <w:qFormat/>
    <w:uiPriority w:val="10"/>
    <w:pPr>
      <w:widowControl w:val="0"/>
      <w:spacing w:before="240" w:after="60"/>
      <w:jc w:val="center"/>
      <w:outlineLvl w:val="0"/>
    </w:pPr>
    <w:rPr>
      <w:rFonts w:asciiTheme="majorHAnsi" w:hAnsiTheme="majorHAnsi" w:eastAsiaTheme="majorEastAsia" w:cstheme="majorBidi"/>
      <w:b/>
      <w:bCs/>
      <w:kern w:val="2"/>
      <w:sz w:val="32"/>
      <w:szCs w:val="32"/>
    </w:rPr>
  </w:style>
  <w:style w:type="character" w:styleId="25">
    <w:name w:val="Strong"/>
    <w:basedOn w:val="24"/>
    <w:qFormat/>
    <w:uiPriority w:val="22"/>
    <w:rPr>
      <w:b/>
      <w:bCs/>
    </w:rPr>
  </w:style>
  <w:style w:type="character" w:styleId="26">
    <w:name w:val="page number"/>
    <w:basedOn w:val="24"/>
    <w:semiHidden/>
    <w:unhideWhenUsed/>
    <w:qFormat/>
    <w:uiPriority w:val="99"/>
  </w:style>
  <w:style w:type="character" w:styleId="27">
    <w:name w:val="FollowedHyperlink"/>
    <w:basedOn w:val="24"/>
    <w:semiHidden/>
    <w:unhideWhenUsed/>
    <w:qFormat/>
    <w:uiPriority w:val="99"/>
    <w:rPr>
      <w:color w:val="800080"/>
      <w:u w:val="single"/>
    </w:rPr>
  </w:style>
  <w:style w:type="character" w:styleId="28">
    <w:name w:val="Hyperlink"/>
    <w:basedOn w:val="24"/>
    <w:unhideWhenUsed/>
    <w:qFormat/>
    <w:uiPriority w:val="99"/>
    <w:rPr>
      <w:color w:val="0563C1" w:themeColor="hyperlink"/>
      <w:u w:val="single"/>
      <w14:textFill>
        <w14:solidFill>
          <w14:schemeClr w14:val="hlink"/>
        </w14:solidFill>
      </w14:textFill>
    </w:rPr>
  </w:style>
  <w:style w:type="character" w:customStyle="1" w:styleId="29">
    <w:name w:val="apple-converted-space"/>
    <w:basedOn w:val="24"/>
    <w:qFormat/>
    <w:uiPriority w:val="0"/>
  </w:style>
  <w:style w:type="character" w:customStyle="1" w:styleId="30">
    <w:name w:val="laiyuan"/>
    <w:basedOn w:val="24"/>
    <w:qFormat/>
    <w:uiPriority w:val="0"/>
  </w:style>
  <w:style w:type="paragraph" w:styleId="31">
    <w:name w:val="List Paragraph"/>
    <w:basedOn w:val="1"/>
    <w:qFormat/>
    <w:uiPriority w:val="34"/>
    <w:pPr>
      <w:widowControl w:val="0"/>
      <w:ind w:firstLine="420" w:firstLineChars="200"/>
      <w:jc w:val="both"/>
    </w:pPr>
    <w:rPr>
      <w:rFonts w:asciiTheme="minorHAnsi" w:hAnsiTheme="minorHAnsi" w:eastAsiaTheme="minorEastAsia" w:cstheme="minorBidi"/>
      <w:kern w:val="2"/>
      <w:sz w:val="21"/>
    </w:rPr>
  </w:style>
  <w:style w:type="character" w:customStyle="1" w:styleId="32">
    <w:name w:val="dhgao"/>
    <w:basedOn w:val="24"/>
    <w:qFormat/>
    <w:uiPriority w:val="0"/>
  </w:style>
  <w:style w:type="character" w:customStyle="1" w:styleId="33">
    <w:name w:val="hao1"/>
    <w:basedOn w:val="24"/>
    <w:qFormat/>
    <w:uiPriority w:val="0"/>
  </w:style>
  <w:style w:type="character" w:customStyle="1" w:styleId="34">
    <w:name w:val="yxq-tip"/>
    <w:basedOn w:val="24"/>
    <w:qFormat/>
    <w:uiPriority w:val="0"/>
  </w:style>
  <w:style w:type="character" w:customStyle="1" w:styleId="35">
    <w:name w:val="标题 Char"/>
    <w:basedOn w:val="24"/>
    <w:link w:val="22"/>
    <w:qFormat/>
    <w:uiPriority w:val="10"/>
    <w:rPr>
      <w:rFonts w:asciiTheme="majorHAnsi" w:hAnsiTheme="majorHAnsi" w:eastAsiaTheme="majorEastAsia" w:cstheme="majorBidi"/>
      <w:b/>
      <w:bCs/>
      <w:sz w:val="32"/>
      <w:szCs w:val="32"/>
    </w:rPr>
  </w:style>
  <w:style w:type="character" w:customStyle="1" w:styleId="36">
    <w:name w:val="副标题 Char"/>
    <w:basedOn w:val="24"/>
    <w:link w:val="17"/>
    <w:qFormat/>
    <w:uiPriority w:val="11"/>
    <w:rPr>
      <w:b/>
      <w:bCs/>
      <w:kern w:val="28"/>
      <w:sz w:val="32"/>
      <w:szCs w:val="32"/>
    </w:rPr>
  </w:style>
  <w:style w:type="character" w:customStyle="1" w:styleId="37">
    <w:name w:val="标题 1 Char"/>
    <w:basedOn w:val="24"/>
    <w:link w:val="2"/>
    <w:qFormat/>
    <w:uiPriority w:val="9"/>
    <w:rPr>
      <w:rFonts w:eastAsia="SimSun-ExtB"/>
      <w:b/>
      <w:bCs/>
      <w:kern w:val="44"/>
      <w:sz w:val="44"/>
      <w:szCs w:val="44"/>
    </w:rPr>
  </w:style>
  <w:style w:type="paragraph" w:customStyle="1" w:styleId="38">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39">
    <w:name w:val="日期 Char"/>
    <w:basedOn w:val="24"/>
    <w:link w:val="11"/>
    <w:semiHidden/>
    <w:qFormat/>
    <w:uiPriority w:val="99"/>
  </w:style>
  <w:style w:type="paragraph" w:styleId="40">
    <w:name w:val="No Spacing"/>
    <w:link w:val="41"/>
    <w:qFormat/>
    <w:uiPriority w:val="1"/>
    <w:rPr>
      <w:rFonts w:eastAsia="Microsoft YaHei UI" w:asciiTheme="minorHAnsi" w:hAnsiTheme="minorHAnsi" w:cstheme="minorBidi"/>
      <w:kern w:val="0"/>
      <w:sz w:val="22"/>
      <w:szCs w:val="22"/>
      <w:lang w:val="en-US" w:eastAsia="zh-CN" w:bidi="ar-SA"/>
    </w:rPr>
  </w:style>
  <w:style w:type="character" w:customStyle="1" w:styleId="41">
    <w:name w:val="无间隔 Char"/>
    <w:basedOn w:val="24"/>
    <w:link w:val="40"/>
    <w:qFormat/>
    <w:uiPriority w:val="1"/>
    <w:rPr>
      <w:rFonts w:eastAsia="Microsoft YaHei UI"/>
      <w:kern w:val="0"/>
      <w:sz w:val="22"/>
      <w:szCs w:val="22"/>
    </w:rPr>
  </w:style>
  <w:style w:type="character" w:customStyle="1" w:styleId="42">
    <w:name w:val="页眉 Char"/>
    <w:basedOn w:val="24"/>
    <w:link w:val="14"/>
    <w:qFormat/>
    <w:uiPriority w:val="99"/>
    <w:rPr>
      <w:sz w:val="18"/>
      <w:szCs w:val="18"/>
    </w:rPr>
  </w:style>
  <w:style w:type="character" w:customStyle="1" w:styleId="43">
    <w:name w:val="页脚 Char"/>
    <w:basedOn w:val="24"/>
    <w:link w:val="13"/>
    <w:qFormat/>
    <w:uiPriority w:val="99"/>
    <w:rPr>
      <w:sz w:val="18"/>
      <w:szCs w:val="18"/>
    </w:rPr>
  </w:style>
  <w:style w:type="character" w:customStyle="1" w:styleId="44">
    <w:name w:val="标题 2 Char"/>
    <w:basedOn w:val="24"/>
    <w:link w:val="3"/>
    <w:semiHidden/>
    <w:qFormat/>
    <w:uiPriority w:val="9"/>
    <w:rPr>
      <w:rFonts w:asciiTheme="majorHAnsi" w:hAnsiTheme="majorHAnsi" w:eastAsiaTheme="majorEastAsia" w:cstheme="majorBidi"/>
      <w:b/>
      <w:bCs/>
      <w:kern w:val="0"/>
      <w:sz w:val="32"/>
      <w:szCs w:val="32"/>
    </w:rPr>
  </w:style>
  <w:style w:type="paragraph" w:customStyle="1" w:styleId="45">
    <w:name w:val="douyin"/>
    <w:basedOn w:val="1"/>
    <w:qFormat/>
    <w:uiPriority w:val="0"/>
    <w:pPr>
      <w:spacing w:before="100" w:beforeAutospacing="1" w:after="100" w:afterAutospacing="1"/>
    </w:pPr>
  </w:style>
  <w:style w:type="paragraph" w:customStyle="1" w:styleId="46">
    <w:name w:val="wb"/>
    <w:basedOn w:val="1"/>
    <w:qFormat/>
    <w:uiPriority w:val="0"/>
    <w:pPr>
      <w:spacing w:before="100" w:beforeAutospacing="1" w:after="100" w:afterAutospacing="1"/>
    </w:pPr>
  </w:style>
  <w:style w:type="paragraph" w:customStyle="1" w:styleId="47">
    <w:name w:val="wx"/>
    <w:basedOn w:val="1"/>
    <w:qFormat/>
    <w:uiPriority w:val="0"/>
    <w:pPr>
      <w:spacing w:before="100" w:beforeAutospacing="1" w:after="100" w:afterAutospacing="1"/>
    </w:pPr>
  </w:style>
  <w:style w:type="paragraph" w:customStyle="1" w:styleId="48">
    <w:name w:val="yx"/>
    <w:basedOn w:val="1"/>
    <w:qFormat/>
    <w:uiPriority w:val="0"/>
    <w:pPr>
      <w:spacing w:before="100" w:beforeAutospacing="1" w:after="100" w:afterAutospacing="1"/>
    </w:pPr>
  </w:style>
  <w:style w:type="paragraph" w:customStyle="1" w:styleId="49">
    <w:name w:val="zjgk"/>
    <w:basedOn w:val="1"/>
    <w:qFormat/>
    <w:uiPriority w:val="0"/>
    <w:pPr>
      <w:spacing w:before="100" w:beforeAutospacing="1" w:after="100" w:afterAutospacing="1"/>
    </w:pPr>
  </w:style>
  <w:style w:type="paragraph" w:customStyle="1" w:styleId="50">
    <w:name w:val="xxgk"/>
    <w:basedOn w:val="1"/>
    <w:qFormat/>
    <w:uiPriority w:val="0"/>
    <w:pPr>
      <w:spacing w:before="100" w:beforeAutospacing="1" w:after="100" w:afterAutospacing="1"/>
    </w:pPr>
  </w:style>
  <w:style w:type="paragraph" w:customStyle="1" w:styleId="51">
    <w:name w:val="xwfb"/>
    <w:basedOn w:val="1"/>
    <w:qFormat/>
    <w:uiPriority w:val="0"/>
    <w:pPr>
      <w:spacing w:before="100" w:beforeAutospacing="1" w:after="100" w:afterAutospacing="1"/>
    </w:pPr>
  </w:style>
  <w:style w:type="paragraph" w:customStyle="1" w:styleId="52">
    <w:name w:val="sszc"/>
    <w:basedOn w:val="1"/>
    <w:qFormat/>
    <w:uiPriority w:val="0"/>
    <w:pPr>
      <w:spacing w:before="100" w:beforeAutospacing="1" w:after="100" w:afterAutospacing="1"/>
    </w:pPr>
  </w:style>
  <w:style w:type="paragraph" w:customStyle="1" w:styleId="53">
    <w:name w:val="nsfw"/>
    <w:basedOn w:val="1"/>
    <w:qFormat/>
    <w:uiPriority w:val="0"/>
    <w:pPr>
      <w:spacing w:before="100" w:beforeAutospacing="1" w:after="100" w:afterAutospacing="1"/>
    </w:pPr>
  </w:style>
  <w:style w:type="paragraph" w:customStyle="1" w:styleId="54">
    <w:name w:val="swsp"/>
    <w:basedOn w:val="1"/>
    <w:qFormat/>
    <w:uiPriority w:val="0"/>
    <w:pPr>
      <w:spacing w:before="100" w:beforeAutospacing="1" w:after="100" w:afterAutospacing="1"/>
    </w:pPr>
  </w:style>
  <w:style w:type="paragraph" w:customStyle="1" w:styleId="55">
    <w:name w:val="hzjl"/>
    <w:basedOn w:val="1"/>
    <w:qFormat/>
    <w:uiPriority w:val="0"/>
    <w:pPr>
      <w:spacing w:before="100" w:beforeAutospacing="1" w:after="100" w:afterAutospacing="1"/>
    </w:pPr>
  </w:style>
  <w:style w:type="character" w:customStyle="1" w:styleId="56">
    <w:name w:val="date"/>
    <w:basedOn w:val="24"/>
    <w:qFormat/>
    <w:uiPriority w:val="0"/>
  </w:style>
  <w:style w:type="character" w:customStyle="1" w:styleId="57">
    <w:name w:val="ly"/>
    <w:basedOn w:val="24"/>
    <w:qFormat/>
    <w:uiPriority w:val="0"/>
  </w:style>
  <w:style w:type="character" w:customStyle="1" w:styleId="58">
    <w:name w:val="fontsize"/>
    <w:basedOn w:val="24"/>
    <w:qFormat/>
    <w:uiPriority w:val="0"/>
  </w:style>
  <w:style w:type="character" w:customStyle="1" w:styleId="59">
    <w:name w:val="print"/>
    <w:basedOn w:val="24"/>
    <w:qFormat/>
    <w:uiPriority w:val="0"/>
  </w:style>
  <w:style w:type="character" w:customStyle="1" w:styleId="60">
    <w:name w:val="shareicon"/>
    <w:basedOn w:val="24"/>
    <w:qFormat/>
    <w:uiPriority w:val="0"/>
  </w:style>
  <w:style w:type="character" w:customStyle="1" w:styleId="61">
    <w:name w:val="Unresolved Mention"/>
    <w:basedOn w:val="24"/>
    <w:semiHidden/>
    <w:unhideWhenUsed/>
    <w:qFormat/>
    <w:uiPriority w:val="99"/>
    <w:rPr>
      <w:color w:val="605E5C"/>
      <w:shd w:val="clear" w:color="auto" w:fill="E1DFDD"/>
    </w:rPr>
  </w:style>
  <w:style w:type="character" w:customStyle="1" w:styleId="62">
    <w:name w:val="批注框文本 Char"/>
    <w:basedOn w:val="24"/>
    <w:link w:val="12"/>
    <w:semiHidden/>
    <w:qFormat/>
    <w:uiPriority w:val="99"/>
    <w:rPr>
      <w:rFonts w:ascii="宋体" w:hAnsi="宋体" w:eastAsia="宋体" w:cs="宋体"/>
      <w:kern w:val="0"/>
      <w:sz w:val="18"/>
      <w:szCs w:val="18"/>
    </w:rPr>
  </w:style>
  <w:style w:type="character" w:customStyle="1" w:styleId="63">
    <w:name w:val="文档结构图 Char"/>
    <w:basedOn w:val="24"/>
    <w:link w:val="7"/>
    <w:semiHidden/>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verPageProperties xmlns="http://schemas.microsoft.com/office/2006/coverPageProps">
  <PublishDate/>
  <Abstract>对本月行业最新资讯、涉水案件、税收政策等进行汇总编制与各位读者共享</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D489A67B-02DE-4B3C-9C2F-D88CFD4526D0}">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12660</Words>
  <Characters>13230</Characters>
  <Lines>1</Lines>
  <Paragraphs>1</Paragraphs>
  <TotalTime>44</TotalTime>
  <ScaleCrop>false</ScaleCrop>
  <LinksUpToDate>false</LinksUpToDate>
  <CharactersWithSpaces>13253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2023-05-25T08:07:00Z</dcterms:created>
  <dc:creator>深圳市律师协会税务法律专业委员会编制</dc:creator>
  <cp:lastModifiedBy>李慧芳</cp:lastModifiedBy>
  <cp:lastPrinted>2022-08-28T06:38:00Z</cp:lastPrinted>
  <dcterms:modified xsi:type="dcterms:W3CDTF">2026-03-18T04:16:28Z</dcterms:modified>
  <dc:subject>2026 年3月17号总第  期</dc:subject>
  <dc:title>税务法律资讯</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FC95B736AD134BEFA2E45B58833A2F27_13</vt:lpwstr>
  </property>
  <property fmtid="{D5CDD505-2E9C-101B-9397-08002B2CF9AE}" pid="4" name="KSOTemplateDocerSaveRecord">
    <vt:lpwstr>eyJoZGlkIjoiZTg0MDMxOGNhNzc3M2I5MjMyODg2MWUyNWNhMWUxNGUiLCJ1c2VySWQiOiI0MTA2NTYwNjgifQ==</vt:lpwstr>
  </property>
</Properties>
</file>