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kinsoku/>
        <w:autoSpaceDE/>
        <w:autoSpaceDN/>
        <w:adjustRightInd/>
        <w:snapToGrid/>
        <w:spacing w:line="560" w:lineRule="exact"/>
        <w:ind w:firstLine="0" w:firstLineChars="0"/>
        <w:jc w:val="left"/>
        <w:textAlignment w:val="auto"/>
        <w:rPr>
          <w:rFonts w:ascii="黑体" w:hAnsi="黑体" w:eastAsia="黑体" w:cs="黑体"/>
          <w:snapToGrid/>
          <w:kern w:val="2"/>
          <w:szCs w:val="32"/>
          <w:lang w:val="en-US" w:eastAsia="zh-CN" w:bidi="ar-SA"/>
        </w:rPr>
      </w:pPr>
      <w:r>
        <w:rPr>
          <w:rFonts w:hint="eastAsia" w:ascii="黑体" w:hAnsi="黑体" w:eastAsia="黑体" w:cs="黑体"/>
          <w:snapToGrid/>
          <w:kern w:val="2"/>
          <w:szCs w:val="32"/>
          <w:lang w:val="en-US" w:eastAsia="zh-CN" w:bidi="ar-SA"/>
        </w:rPr>
        <w:t>附件1</w:t>
      </w:r>
    </w:p>
    <w:p>
      <w:pPr>
        <w:widowControl/>
        <w:kinsoku/>
        <w:autoSpaceDE/>
        <w:autoSpaceDN/>
        <w:adjustRightInd/>
        <w:snapToGrid/>
        <w:spacing w:line="560" w:lineRule="exact"/>
        <w:ind w:firstLine="0" w:firstLineChars="0"/>
        <w:jc w:val="center"/>
        <w:textAlignment w:val="auto"/>
        <w:rPr>
          <w:rFonts w:ascii="方正小标宋简体" w:hAnsi="方正小标宋简体" w:eastAsia="方正小标宋简体" w:cs="方正小标宋简体"/>
          <w:snapToGrid/>
          <w:kern w:val="2"/>
          <w:sz w:val="44"/>
          <w:szCs w:val="44"/>
          <w:lang w:val="en-US" w:eastAsia="zh-CN" w:bidi="ar-SA"/>
        </w:rPr>
      </w:pPr>
      <w:r>
        <w:rPr>
          <w:rFonts w:hint="eastAsia" w:ascii="方正小标宋简体" w:hAnsi="方正小标宋简体" w:eastAsia="方正小标宋简体" w:cs="方正小标宋简体"/>
          <w:snapToGrid/>
          <w:kern w:val="2"/>
          <w:sz w:val="44"/>
          <w:szCs w:val="44"/>
          <w:lang w:val="en-US" w:eastAsia="zh-CN" w:bidi="ar-SA"/>
        </w:rPr>
        <w:t>课程安排</w:t>
      </w:r>
    </w:p>
    <w:p>
      <w:pPr>
        <w:widowControl w:val="0"/>
        <w:spacing w:line="560" w:lineRule="exact"/>
        <w:jc w:val="center"/>
        <w:rPr>
          <w:rFonts w:hint="eastAsia" w:ascii="楷体_GB2312" w:hAnsi="楷体_GB2312" w:eastAsia="楷体_GB2312" w:cs="楷体_GB2312"/>
          <w:kern w:val="2"/>
          <w:sz w:val="32"/>
          <w:szCs w:val="32"/>
          <w:lang w:val="en-US" w:eastAsia="zh-CN" w:bidi="ar-SA"/>
        </w:rPr>
      </w:pPr>
      <w:r>
        <w:rPr>
          <w:rFonts w:hint="eastAsia" w:ascii="楷体_GB2312" w:hAnsi="楷体_GB2312" w:eastAsia="楷体_GB2312" w:cs="楷体_GB2312"/>
          <w:kern w:val="2"/>
          <w:sz w:val="32"/>
          <w:szCs w:val="32"/>
          <w:lang w:val="en-US" w:eastAsia="zh-CN" w:bidi="ar-SA"/>
        </w:rPr>
        <w:t>（暂定）</w:t>
      </w:r>
    </w:p>
    <w:p>
      <w:pPr>
        <w:widowControl w:val="0"/>
        <w:ind w:left="2560" w:leftChars="800"/>
        <w:jc w:val="both"/>
        <w:rPr>
          <w:rFonts w:ascii="Times New Roman" w:hAnsi="Times New Roman" w:eastAsia="宋体" w:cs="Times New Roman"/>
          <w:kern w:val="2"/>
          <w:sz w:val="21"/>
          <w:szCs w:val="22"/>
          <w:lang w:val="en-US" w:eastAsia="zh-CN" w:bidi="ar-SA"/>
        </w:rPr>
      </w:pPr>
    </w:p>
    <w:tbl>
      <w:tblPr>
        <w:tblStyle w:val="5"/>
        <w:tblW w:w="10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
        <w:gridCol w:w="1609"/>
        <w:gridCol w:w="3640"/>
        <w:gridCol w:w="4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625" w:type="dxa"/>
            <w:gridSpan w:val="2"/>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b/>
                <w:bCs/>
                <w:snapToGrid/>
                <w:color w:val="000000"/>
                <w:kern w:val="2"/>
                <w:sz w:val="24"/>
                <w:szCs w:val="24"/>
                <w:shd w:val="clear" w:color="auto" w:fill="FFFFFF"/>
                <w:lang w:val="en-US" w:eastAsia="zh-CN" w:bidi="ar-SA"/>
              </w:rPr>
            </w:pPr>
            <w:r>
              <w:rPr>
                <w:rFonts w:hint="eastAsia" w:ascii="仿宋_GB2312" w:hAnsi="仿宋_GB2312" w:eastAsia="仿宋_GB2312" w:cs="仿宋_GB2312"/>
                <w:b/>
                <w:bCs/>
                <w:snapToGrid/>
                <w:color w:val="000000"/>
                <w:kern w:val="2"/>
                <w:sz w:val="24"/>
                <w:szCs w:val="24"/>
                <w:shd w:val="clear" w:color="auto" w:fill="FFFFFF"/>
                <w:lang w:val="en-US" w:eastAsia="zh-CN" w:bidi="ar-SA"/>
              </w:rPr>
              <w:t>授课时间</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b/>
                <w:bCs/>
                <w:snapToGrid/>
                <w:color w:val="000000"/>
                <w:kern w:val="2"/>
                <w:sz w:val="24"/>
                <w:szCs w:val="24"/>
                <w:shd w:val="clear" w:color="auto" w:fill="FFFFFF"/>
                <w:lang w:val="en-US" w:eastAsia="zh-CN" w:bidi="ar-SA"/>
              </w:rPr>
            </w:pPr>
            <w:r>
              <w:rPr>
                <w:rFonts w:hint="eastAsia" w:ascii="仿宋_GB2312" w:hAnsi="仿宋_GB2312" w:eastAsia="仿宋_GB2312" w:cs="仿宋_GB2312"/>
                <w:b/>
                <w:bCs/>
                <w:snapToGrid/>
                <w:color w:val="000000"/>
                <w:kern w:val="2"/>
                <w:sz w:val="24"/>
                <w:szCs w:val="24"/>
                <w:shd w:val="clear" w:color="auto" w:fill="FFFFFF"/>
                <w:lang w:val="en-US" w:eastAsia="zh-CN" w:bidi="ar-SA"/>
              </w:rPr>
              <w:t>课程名称</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b/>
                <w:bCs/>
                <w:snapToGrid/>
                <w:color w:val="000000"/>
                <w:kern w:val="2"/>
                <w:sz w:val="24"/>
                <w:szCs w:val="24"/>
                <w:shd w:val="clear" w:color="auto" w:fill="FFFFFF"/>
                <w:lang w:val="en-US" w:eastAsia="zh-CN" w:bidi="ar-SA"/>
              </w:rPr>
            </w:pPr>
            <w:r>
              <w:rPr>
                <w:rFonts w:hint="eastAsia" w:ascii="仿宋_GB2312" w:hAnsi="仿宋_GB2312" w:eastAsia="仿宋_GB2312" w:cs="仿宋_GB2312"/>
                <w:b/>
                <w:bCs/>
                <w:snapToGrid/>
                <w:color w:val="000000"/>
                <w:kern w:val="2"/>
                <w:sz w:val="24"/>
                <w:szCs w:val="24"/>
                <w:shd w:val="clear" w:color="auto" w:fill="FFFFFF"/>
                <w:lang w:val="en-US" w:eastAsia="zh-CN" w:bidi="ar-SA"/>
              </w:rPr>
              <w:t>授课老师及简介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16" w:type="dxa"/>
            <w:vAlign w:val="center"/>
          </w:tcPr>
          <w:p>
            <w:pPr>
              <w:widowControl w:val="0"/>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8.14</w:t>
            </w: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全天</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报到、入住</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016" w:type="dxa"/>
            <w:vMerge w:val="restart"/>
            <w:vAlign w:val="center"/>
          </w:tcPr>
          <w:p>
            <w:pPr>
              <w:widowControl w:val="0"/>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8.15</w:t>
            </w:r>
          </w:p>
          <w:p>
            <w:pPr>
              <w:widowControl w:val="0"/>
              <w:kinsoku/>
              <w:autoSpaceDE/>
              <w:autoSpaceDN/>
              <w:adjustRightInd/>
              <w:snapToGrid/>
              <w:spacing w:after="120" w:line="240" w:lineRule="auto"/>
              <w:ind w:firstLine="0" w:firstLineChars="0"/>
              <w:jc w:val="center"/>
              <w:textAlignment w:val="auto"/>
              <w:rPr>
                <w:rFonts w:hint="eastAsia" w:ascii="仿宋_GB2312" w:hAnsi="仿宋_GB2312" w:eastAsia="仿宋_GB2312" w:cs="仿宋_GB2312"/>
                <w:snapToGrid/>
                <w:kern w:val="2"/>
                <w:sz w:val="24"/>
                <w:szCs w:val="24"/>
                <w:lang w:val="en-US" w:eastAsia="zh-CN" w:bidi="ar-SA"/>
              </w:rPr>
            </w:pPr>
            <w:r>
              <w:rPr>
                <w:rFonts w:hint="eastAsia" w:ascii="仿宋_GB2312" w:hAnsi="仿宋_GB2312" w:eastAsia="仿宋_GB2312" w:cs="仿宋_GB2312"/>
                <w:snapToGrid/>
                <w:kern w:val="2"/>
                <w:sz w:val="24"/>
                <w:szCs w:val="24"/>
                <w:lang w:val="en-US" w:eastAsia="zh-CN" w:bidi="ar-SA"/>
              </w:rPr>
              <w:t>周四</w:t>
            </w: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8</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3</w:t>
            </w:r>
            <w:r>
              <w:rPr>
                <w:rFonts w:hint="eastAsia" w:ascii="仿宋_GB2312" w:hAnsi="仿宋_GB2312" w:eastAsia="仿宋_GB2312" w:cs="仿宋_GB2312"/>
                <w:snapToGrid/>
                <w:color w:val="000000"/>
                <w:kern w:val="2"/>
                <w:sz w:val="24"/>
                <w:szCs w:val="24"/>
                <w:shd w:val="clear" w:color="auto" w:fill="FFFFFF"/>
                <w:lang w:val="en-US" w:eastAsia="zh-CN" w:bidi="ar-SA"/>
              </w:rPr>
              <w:t>0-</w:t>
            </w:r>
            <w:r>
              <w:rPr>
                <w:rFonts w:ascii="仿宋_GB2312" w:hAnsi="仿宋_GB2312" w:eastAsia="仿宋_GB2312" w:cs="仿宋_GB2312"/>
                <w:snapToGrid/>
                <w:color w:val="000000"/>
                <w:kern w:val="2"/>
                <w:sz w:val="24"/>
                <w:szCs w:val="24"/>
                <w:shd w:val="clear" w:color="auto" w:fill="FFFFFF"/>
                <w:lang w:val="en-US" w:eastAsia="zh-CN" w:bidi="ar-SA"/>
              </w:rPr>
              <w:t>9</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0</w:t>
            </w:r>
            <w:r>
              <w:rPr>
                <w:rFonts w:hint="eastAsia"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开班仪式</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9</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0</w:t>
            </w:r>
            <w:r>
              <w:rPr>
                <w:rFonts w:hint="eastAsia" w:ascii="仿宋_GB2312" w:hAnsi="仿宋_GB2312" w:eastAsia="仿宋_GB2312" w:cs="仿宋_GB2312"/>
                <w:snapToGrid/>
                <w:color w:val="000000"/>
                <w:kern w:val="2"/>
                <w:sz w:val="24"/>
                <w:szCs w:val="24"/>
                <w:shd w:val="clear" w:color="auto" w:fill="FFFFFF"/>
                <w:lang w:val="en-US" w:eastAsia="zh-CN" w:bidi="ar-SA"/>
              </w:rPr>
              <w:t>0-</w:t>
            </w:r>
            <w:r>
              <w:rPr>
                <w:rFonts w:ascii="仿宋_GB2312" w:hAnsi="仿宋_GB2312" w:eastAsia="仿宋_GB2312" w:cs="仿宋_GB2312"/>
                <w:snapToGrid/>
                <w:color w:val="000000"/>
                <w:kern w:val="2"/>
                <w:sz w:val="24"/>
                <w:szCs w:val="24"/>
                <w:shd w:val="clear" w:color="auto" w:fill="FFFFFF"/>
                <w:lang w:val="en-US" w:eastAsia="zh-CN" w:bidi="ar-SA"/>
              </w:rPr>
              <w:t>12</w:t>
            </w:r>
            <w:r>
              <w:rPr>
                <w:rFonts w:hint="eastAsia" w:ascii="仿宋_GB2312" w:hAnsi="仿宋_GB2312" w:eastAsia="仿宋_GB2312" w:cs="仿宋_GB2312"/>
                <w:snapToGrid/>
                <w:color w:val="000000"/>
                <w:kern w:val="2"/>
                <w:sz w:val="24"/>
                <w:szCs w:val="24"/>
                <w:shd w:val="clear" w:color="auto" w:fill="FFFFFF"/>
                <w:lang w:val="en-US" w:eastAsia="zh-CN" w:bidi="ar-SA"/>
              </w:rPr>
              <w:t>:0</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“习近平法治思想”理论脉络和核心要义</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郭  栋 教授、博导</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浙江大学光华法学院</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浙江大学法理研究中心副主任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3</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20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16</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青年涉外律师如何打造自己的新质生产力-对新生代涉外律师的成长建议</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沈海强 会长</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杭州市律师协会</w:t>
            </w:r>
          </w:p>
          <w:p>
            <w:pPr>
              <w:widowControl w:val="0"/>
              <w:kinsoku/>
              <w:autoSpaceDE/>
              <w:autoSpaceDN/>
              <w:adjustRightInd/>
              <w:snapToGrid/>
              <w:spacing w:line="360" w:lineRule="exact"/>
              <w:ind w:firstLine="240" w:firstLineChars="100"/>
              <w:textAlignment w:val="auto"/>
              <w:rPr>
                <w:rFonts w:ascii="仿宋_GB2312" w:hAnsi="仿宋_GB2312" w:eastAsia="仿宋_GB2312" w:cs="仿宋_GB2312"/>
                <w:snapToGrid/>
                <w:color w:val="FF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浙江天册律师事务所执行主任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7</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20</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涉外法治建设的宏观图景与发展路径</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 xml:space="preserve">赵骏 </w:t>
            </w:r>
            <w:r>
              <w:rPr>
                <w:rFonts w:ascii="仿宋_GB2312" w:hAnsi="仿宋_GB2312" w:eastAsia="仿宋_GB2312" w:cs="仿宋_GB2312"/>
                <w:snapToGrid/>
                <w:color w:val="000000"/>
                <w:kern w:val="2"/>
                <w:sz w:val="24"/>
                <w:szCs w:val="24"/>
                <w:shd w:val="clear" w:color="auto" w:fill="FFFFFF"/>
                <w:lang w:val="en-US" w:eastAsia="zh-CN" w:bidi="ar-SA"/>
              </w:rPr>
              <w:t>教授</w:t>
            </w:r>
            <w:r>
              <w:rPr>
                <w:rFonts w:hint="eastAsia" w:ascii="仿宋_GB2312" w:hAnsi="仿宋_GB2312" w:eastAsia="仿宋_GB2312" w:cs="仿宋_GB2312"/>
                <w:snapToGrid/>
                <w:color w:val="000000"/>
                <w:kern w:val="2"/>
                <w:sz w:val="24"/>
                <w:szCs w:val="24"/>
                <w:shd w:val="clear" w:color="auto" w:fill="FFFFFF"/>
                <w:lang w:val="en-US" w:eastAsia="zh-CN" w:bidi="ar-SA"/>
              </w:rPr>
              <w:t>、博导</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浙江大学光华法学院副院长</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全国十大青年法学家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016" w:type="dxa"/>
            <w:vMerge w:val="restart"/>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8.16</w:t>
            </w:r>
          </w:p>
          <w:p>
            <w:pPr>
              <w:widowControl w:val="0"/>
              <w:kinsoku/>
              <w:autoSpaceDE/>
              <w:autoSpaceDN/>
              <w:adjustRightInd/>
              <w:snapToGrid/>
              <w:spacing w:after="120" w:line="240" w:lineRule="auto"/>
              <w:ind w:firstLine="0" w:firstLineChars="0"/>
              <w:jc w:val="center"/>
              <w:textAlignment w:val="auto"/>
              <w:rPr>
                <w:rFonts w:hint="eastAsia" w:ascii="仿宋_GB2312" w:hAnsi="仿宋_GB2312" w:eastAsia="仿宋_GB2312" w:cs="仿宋_GB2312"/>
                <w:snapToGrid/>
                <w:kern w:val="2"/>
                <w:sz w:val="24"/>
                <w:szCs w:val="24"/>
                <w:lang w:val="en-US" w:eastAsia="zh-CN" w:bidi="ar-SA"/>
              </w:rPr>
            </w:pPr>
            <w:r>
              <w:rPr>
                <w:rFonts w:hint="eastAsia" w:ascii="仿宋_GB2312" w:hAnsi="仿宋_GB2312" w:eastAsia="仿宋_GB2312" w:cs="仿宋_GB2312"/>
                <w:snapToGrid/>
                <w:kern w:val="2"/>
                <w:sz w:val="24"/>
                <w:szCs w:val="24"/>
                <w:lang w:val="en-US" w:eastAsia="zh-CN" w:bidi="ar-SA"/>
              </w:rPr>
              <w:t>周五</w:t>
            </w: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9</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0</w:t>
            </w:r>
            <w:r>
              <w:rPr>
                <w:rFonts w:hint="eastAsia" w:ascii="仿宋_GB2312" w:hAnsi="仿宋_GB2312" w:eastAsia="仿宋_GB2312" w:cs="仿宋_GB2312"/>
                <w:snapToGrid/>
                <w:color w:val="000000"/>
                <w:kern w:val="2"/>
                <w:sz w:val="24"/>
                <w:szCs w:val="24"/>
                <w:shd w:val="clear" w:color="auto" w:fill="FFFFFF"/>
                <w:lang w:val="en-US" w:eastAsia="zh-CN" w:bidi="ar-SA"/>
              </w:rPr>
              <w:t>0-</w:t>
            </w:r>
            <w:r>
              <w:rPr>
                <w:rFonts w:ascii="仿宋_GB2312" w:hAnsi="仿宋_GB2312" w:eastAsia="仿宋_GB2312" w:cs="仿宋_GB2312"/>
                <w:snapToGrid/>
                <w:color w:val="000000"/>
                <w:kern w:val="2"/>
                <w:sz w:val="24"/>
                <w:szCs w:val="24"/>
                <w:shd w:val="clear" w:color="auto" w:fill="FFFFFF"/>
                <w:lang w:val="en-US" w:eastAsia="zh-CN" w:bidi="ar-SA"/>
              </w:rPr>
              <w:t>12</w:t>
            </w:r>
            <w:r>
              <w:rPr>
                <w:rFonts w:hint="eastAsia" w:ascii="仿宋_GB2312" w:hAnsi="仿宋_GB2312" w:eastAsia="仿宋_GB2312" w:cs="仿宋_GB2312"/>
                <w:snapToGrid/>
                <w:color w:val="000000"/>
                <w:kern w:val="2"/>
                <w:sz w:val="24"/>
                <w:szCs w:val="24"/>
                <w:shd w:val="clear" w:color="auto" w:fill="FFFFFF"/>
                <w:lang w:val="en-US" w:eastAsia="zh-CN" w:bidi="ar-SA"/>
              </w:rPr>
              <w:t>:0</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如何进行涉外仲裁开庭准备及如何进行开庭</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 xml:space="preserve">姚宏敏 </w:t>
            </w:r>
            <w:r>
              <w:rPr>
                <w:rFonts w:ascii="仿宋_GB2312" w:hAnsi="仿宋_GB2312" w:eastAsia="仿宋_GB2312" w:cs="仿宋_GB2312"/>
                <w:snapToGrid/>
                <w:color w:val="000000"/>
                <w:kern w:val="2"/>
                <w:sz w:val="24"/>
                <w:szCs w:val="24"/>
                <w:shd w:val="clear" w:color="auto" w:fill="FFFFFF"/>
                <w:lang w:val="en-US" w:eastAsia="zh-CN" w:bidi="ar-SA"/>
              </w:rPr>
              <w:t xml:space="preserve"> </w:t>
            </w:r>
            <w:r>
              <w:rPr>
                <w:rFonts w:hint="eastAsia" w:ascii="仿宋_GB2312" w:hAnsi="仿宋_GB2312" w:eastAsia="仿宋_GB2312" w:cs="仿宋_GB2312"/>
                <w:snapToGrid/>
                <w:color w:val="000000"/>
                <w:kern w:val="2"/>
                <w:sz w:val="24"/>
                <w:szCs w:val="24"/>
                <w:shd w:val="clear" w:color="auto" w:fill="FFFFFF"/>
                <w:lang w:val="en-US" w:eastAsia="zh-CN" w:bidi="ar-SA"/>
              </w:rPr>
              <w:t>副秘书长</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上海国际经济贸易仲裁委员会</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上海国际仲裁中心研究中心主任</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法律事务总监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p>
        </w:tc>
        <w:tc>
          <w:tcPr>
            <w:tcW w:w="1609" w:type="dxa"/>
            <w:vMerge w:val="restart"/>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3</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00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16</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00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模拟仲裁庭（第一组）：</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国际商事仲裁与调解开庭</w:t>
            </w:r>
          </w:p>
        </w:tc>
        <w:tc>
          <w:tcPr>
            <w:tcW w:w="4056" w:type="dxa"/>
            <w:vAlign w:val="center"/>
          </w:tcPr>
          <w:p>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snapToGrid/>
                <w:kern w:val="2"/>
                <w:sz w:val="24"/>
                <w:szCs w:val="24"/>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首席仲裁员:</w:t>
            </w:r>
            <w:r>
              <w:rPr>
                <w:rFonts w:hint="eastAsia" w:ascii="仿宋_GB2312" w:hAnsi="仿宋_GB2312" w:eastAsia="仿宋_GB2312" w:cs="仿宋_GB2312"/>
                <w:snapToGrid/>
                <w:kern w:val="2"/>
                <w:sz w:val="24"/>
                <w:szCs w:val="24"/>
                <w:lang w:val="en-US" w:eastAsia="zh-CN" w:bidi="ar-SA"/>
              </w:rPr>
              <w:t xml:space="preserve"> </w:t>
            </w:r>
            <w:r>
              <w:rPr>
                <w:rFonts w:hint="eastAsia" w:ascii="仿宋_GB2312" w:hAnsi="仿宋_GB2312" w:eastAsia="仿宋_GB2312" w:cs="仿宋_GB2312"/>
                <w:snapToGrid/>
                <w:color w:val="000000"/>
                <w:kern w:val="2"/>
                <w:sz w:val="24"/>
                <w:szCs w:val="24"/>
                <w:shd w:val="clear" w:color="auto" w:fill="FFFFFF"/>
                <w:lang w:val="en-US" w:eastAsia="zh-CN" w:bidi="ar-SA"/>
              </w:rPr>
              <w:t>金彭年教授/</w:t>
            </w:r>
            <w:r>
              <w:rPr>
                <w:rFonts w:hint="eastAsia" w:ascii="仿宋_GB2312" w:hAnsi="仿宋_GB2312" w:eastAsia="仿宋_GB2312" w:cs="仿宋_GB2312"/>
                <w:snapToGrid/>
                <w:kern w:val="2"/>
                <w:sz w:val="24"/>
                <w:szCs w:val="24"/>
                <w:lang w:val="en-US" w:eastAsia="zh-CN" w:bidi="ar-SA"/>
              </w:rPr>
              <w:t>汤旻利</w:t>
            </w:r>
          </w:p>
          <w:p>
            <w:pPr>
              <w:widowControl w:val="0"/>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kern w:val="2"/>
                <w:sz w:val="24"/>
                <w:szCs w:val="24"/>
                <w:lang w:val="en-US" w:eastAsia="zh-CN" w:bidi="ar-SA"/>
              </w:rPr>
              <w:t>边裁：邹睿、陈明清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p>
        </w:tc>
        <w:tc>
          <w:tcPr>
            <w:tcW w:w="1609" w:type="dxa"/>
            <w:vMerge w:val="continue"/>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模拟仲裁庭（第二组）：</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国际商事仲裁与调解开庭</w:t>
            </w:r>
          </w:p>
        </w:tc>
        <w:tc>
          <w:tcPr>
            <w:tcW w:w="4056" w:type="dxa"/>
            <w:vAlign w:val="center"/>
          </w:tcPr>
          <w:p>
            <w:pPr>
              <w:widowControl w:val="0"/>
              <w:kinsoku/>
              <w:autoSpaceDE/>
              <w:autoSpaceDN/>
              <w:adjustRightInd/>
              <w:snapToGrid/>
              <w:spacing w:line="360" w:lineRule="exact"/>
              <w:ind w:firstLine="0" w:firstLineChars="0"/>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首席仲裁员:</w:t>
            </w:r>
            <w:r>
              <w:rPr>
                <w:rFonts w:hint="eastAsia" w:ascii="仿宋_GB2312" w:hAnsi="仿宋_GB2312" w:eastAsia="仿宋_GB2312" w:cs="仿宋_GB2312"/>
                <w:snapToGrid/>
                <w:kern w:val="2"/>
                <w:sz w:val="24"/>
                <w:szCs w:val="24"/>
                <w:lang w:val="en-US" w:eastAsia="zh-CN" w:bidi="ar-SA"/>
              </w:rPr>
              <w:t xml:space="preserve"> </w:t>
            </w:r>
            <w:r>
              <w:rPr>
                <w:rFonts w:hint="eastAsia" w:ascii="仿宋_GB2312" w:hAnsi="仿宋_GB2312" w:eastAsia="仿宋_GB2312" w:cs="仿宋_GB2312"/>
                <w:snapToGrid/>
                <w:color w:val="000000"/>
                <w:kern w:val="2"/>
                <w:sz w:val="24"/>
                <w:szCs w:val="24"/>
                <w:shd w:val="clear" w:color="auto" w:fill="FFFFFF"/>
                <w:lang w:val="en-US" w:eastAsia="zh-CN" w:bidi="ar-SA"/>
              </w:rPr>
              <w:t>陈信勇教授/</w:t>
            </w:r>
            <w:r>
              <w:rPr>
                <w:rFonts w:hint="eastAsia" w:ascii="仿宋_GB2312" w:hAnsi="仿宋_GB2312" w:eastAsia="仿宋_GB2312" w:cs="仿宋_GB2312"/>
                <w:snapToGrid/>
                <w:kern w:val="2"/>
                <w:sz w:val="24"/>
                <w:szCs w:val="24"/>
                <w:lang w:val="en-US" w:eastAsia="zh-CN" w:bidi="ar-SA"/>
              </w:rPr>
              <w:t>马汉</w:t>
            </w:r>
          </w:p>
          <w:p>
            <w:pPr>
              <w:widowControl w:val="0"/>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kern w:val="2"/>
                <w:sz w:val="24"/>
                <w:szCs w:val="24"/>
                <w:lang w:val="en-US" w:eastAsia="zh-CN" w:bidi="ar-SA"/>
              </w:rPr>
              <w:t>边裁：范佳煜、王渊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6</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00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16</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45</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模拟仲裁庭点评总结</w:t>
            </w:r>
          </w:p>
        </w:tc>
        <w:tc>
          <w:tcPr>
            <w:tcW w:w="4056" w:type="dxa"/>
            <w:vAlign w:val="center"/>
          </w:tcPr>
          <w:p>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上海国际仲裁中心导师</w:t>
            </w:r>
          </w:p>
          <w:p>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邹睿、陈明清、汤旻利、范佳煜、马汉、王渊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lang w:val="en-US" w:eastAsia="zh-CN" w:bidi="ar-SA"/>
              </w:rPr>
            </w:pPr>
          </w:p>
        </w:tc>
        <w:tc>
          <w:tcPr>
            <w:tcW w:w="1609" w:type="dxa"/>
            <w:vMerge w:val="restart"/>
            <w:vAlign w:val="center"/>
          </w:tcPr>
          <w:p>
            <w:pPr>
              <w:widowControl w:val="0"/>
              <w:kinsoku/>
              <w:autoSpaceDE/>
              <w:autoSpaceDN/>
              <w:adjustRightInd/>
              <w:snapToGrid/>
              <w:spacing w:line="360" w:lineRule="exact"/>
              <w:ind w:firstLine="0" w:firstLineChars="0"/>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6</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45</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17</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 xml:space="preserve"> 30</w:t>
            </w:r>
          </w:p>
        </w:tc>
        <w:tc>
          <w:tcPr>
            <w:tcW w:w="3640" w:type="dxa"/>
            <w:vAlign w:val="center"/>
          </w:tcPr>
          <w:p>
            <w:pPr>
              <w:widowControl w:val="0"/>
              <w:kinsoku/>
              <w:autoSpaceDE/>
              <w:autoSpaceDN/>
              <w:adjustRightInd/>
              <w:snapToGrid/>
              <w:spacing w:line="360" w:lineRule="exact"/>
              <w:ind w:firstLine="240" w:firstLineChars="100"/>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kern w:val="2"/>
                <w:sz w:val="24"/>
                <w:szCs w:val="24"/>
                <w:lang w:val="en-US" w:eastAsia="zh-CN" w:bidi="ar-SA"/>
              </w:rPr>
              <w:t>案评：仲裁程序中的热点议题</w:t>
            </w:r>
          </w:p>
        </w:tc>
        <w:tc>
          <w:tcPr>
            <w:tcW w:w="4056" w:type="dxa"/>
            <w:vAlign w:val="center"/>
          </w:tcPr>
          <w:p>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snapToGrid/>
                <w:kern w:val="2"/>
                <w:sz w:val="24"/>
                <w:szCs w:val="24"/>
                <w:lang w:val="en-US" w:eastAsia="zh-CN" w:bidi="ar-SA"/>
              </w:rPr>
            </w:pPr>
            <w:r>
              <w:rPr>
                <w:rFonts w:hint="eastAsia" w:ascii="仿宋_GB2312" w:hAnsi="仿宋_GB2312" w:eastAsia="仿宋_GB2312" w:cs="仿宋_GB2312"/>
                <w:snapToGrid/>
                <w:kern w:val="2"/>
                <w:sz w:val="24"/>
                <w:szCs w:val="24"/>
                <w:lang w:val="en-US" w:eastAsia="zh-CN" w:bidi="ar-SA"/>
              </w:rPr>
              <w:t>许索晟 部长</w:t>
            </w:r>
          </w:p>
          <w:p>
            <w:pPr>
              <w:widowControl w:val="0"/>
              <w:kinsoku/>
              <w:autoSpaceDE/>
              <w:autoSpaceDN/>
              <w:adjustRightInd/>
              <w:snapToGrid/>
              <w:spacing w:after="120" w:line="240" w:lineRule="auto"/>
              <w:ind w:firstLine="0" w:firstLineChars="0"/>
              <w:jc w:val="center"/>
              <w:textAlignment w:val="auto"/>
              <w:rPr>
                <w:rFonts w:hint="eastAsia" w:ascii="仿宋_GB2312" w:hAnsi="仿宋_GB2312" w:eastAsia="仿宋_GB2312" w:cs="仿宋_GB2312"/>
                <w:snapToGrid/>
                <w:kern w:val="2"/>
                <w:sz w:val="24"/>
                <w:szCs w:val="24"/>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上海国际仲裁中心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lang w:val="en-US" w:eastAsia="zh-CN" w:bidi="ar-SA"/>
              </w:rPr>
            </w:pPr>
          </w:p>
        </w:tc>
        <w:tc>
          <w:tcPr>
            <w:tcW w:w="1609" w:type="dxa"/>
            <w:vMerge w:val="continue"/>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p>
        </w:tc>
        <w:tc>
          <w:tcPr>
            <w:tcW w:w="3640" w:type="dxa"/>
            <w:vAlign w:val="center"/>
          </w:tcPr>
          <w:p>
            <w:pPr>
              <w:widowControl w:val="0"/>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kern w:val="2"/>
                <w:sz w:val="24"/>
                <w:szCs w:val="24"/>
                <w:lang w:val="en-US" w:eastAsia="zh-CN" w:bidi="ar-SA"/>
              </w:rPr>
              <w:t>案评：国际货物买卖合同中的违约救济</w:t>
            </w:r>
          </w:p>
        </w:tc>
        <w:tc>
          <w:tcPr>
            <w:tcW w:w="4056" w:type="dxa"/>
            <w:vAlign w:val="center"/>
          </w:tcPr>
          <w:p>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snapToGrid/>
                <w:kern w:val="2"/>
                <w:sz w:val="24"/>
                <w:szCs w:val="24"/>
                <w:lang w:val="en-US" w:eastAsia="zh-CN" w:bidi="ar-SA"/>
              </w:rPr>
            </w:pPr>
            <w:r>
              <w:rPr>
                <w:rFonts w:hint="eastAsia" w:ascii="仿宋_GB2312" w:hAnsi="仿宋_GB2312" w:eastAsia="仿宋_GB2312" w:cs="仿宋_GB2312"/>
                <w:snapToGrid/>
                <w:kern w:val="2"/>
                <w:sz w:val="24"/>
                <w:szCs w:val="24"/>
                <w:lang w:val="en-US" w:eastAsia="zh-CN" w:bidi="ar-SA"/>
              </w:rPr>
              <w:t>韩天岚</w:t>
            </w:r>
          </w:p>
          <w:p>
            <w:pPr>
              <w:widowControl w:val="0"/>
              <w:kinsoku/>
              <w:autoSpaceDE/>
              <w:autoSpaceDN/>
              <w:adjustRightInd/>
              <w:snapToGrid/>
              <w:spacing w:after="120" w:line="240" w:lineRule="auto"/>
              <w:ind w:firstLine="0" w:firstLineChars="0"/>
              <w:jc w:val="center"/>
              <w:textAlignment w:val="auto"/>
              <w:rPr>
                <w:rFonts w:hint="eastAsia" w:ascii="仿宋_GB2312" w:hAnsi="仿宋_GB2312" w:eastAsia="仿宋_GB2312" w:cs="仿宋_GB2312"/>
                <w:snapToGrid/>
                <w:kern w:val="2"/>
                <w:sz w:val="24"/>
                <w:szCs w:val="24"/>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上海国际仲裁中心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016" w:type="dxa"/>
            <w:vMerge w:val="continue"/>
            <w:vAlign w:val="center"/>
          </w:tcPr>
          <w:p>
            <w:pPr>
              <w:widowControl/>
              <w:kinsoku/>
              <w:autoSpaceDE/>
              <w:autoSpaceDN/>
              <w:adjustRightInd/>
              <w:snapToGrid/>
              <w:spacing w:line="360" w:lineRule="exact"/>
              <w:ind w:firstLine="0" w:firstLineChars="0"/>
              <w:textAlignment w:val="auto"/>
              <w:rPr>
                <w:rFonts w:hint="eastAsia" w:ascii="仿宋_GB2312" w:hAnsi="仿宋_GB2312" w:eastAsia="仿宋_GB2312" w:cs="仿宋_GB2312"/>
                <w:snapToGrid/>
                <w:color w:val="000000"/>
                <w:kern w:val="2"/>
                <w:sz w:val="24"/>
                <w:szCs w:val="24"/>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7</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20</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涉外商业秘密保护实务</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吴佩乘</w:t>
            </w:r>
            <w:r>
              <w:rPr>
                <w:rFonts w:hint="eastAsia" w:ascii="仿宋_GB2312" w:hAnsi="仿宋_GB2312" w:eastAsia="仿宋_GB2312" w:cs="仿宋_GB2312"/>
                <w:snapToGrid/>
                <w:color w:val="000000"/>
                <w:kern w:val="2"/>
                <w:sz w:val="24"/>
                <w:szCs w:val="24"/>
                <w:shd w:val="clear" w:color="auto" w:fill="FFFFFF"/>
                <w:lang w:val="en-US" w:eastAsia="zh-CN" w:bidi="ar-SA"/>
              </w:rPr>
              <w:t xml:space="preserve"> 教授、博导</w:t>
            </w:r>
          </w:p>
          <w:p>
            <w:pPr>
              <w:widowControl w:val="0"/>
              <w:kinsoku/>
              <w:autoSpaceDE/>
              <w:autoSpaceDN/>
              <w:adjustRightInd/>
              <w:snapToGrid/>
              <w:spacing w:line="360" w:lineRule="exact"/>
              <w:ind w:firstLine="720" w:firstLineChars="300"/>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浙江大学光华法学院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16" w:type="dxa"/>
            <w:vMerge w:val="restart"/>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8.17</w:t>
            </w:r>
          </w:p>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周六</w:t>
            </w: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8</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45</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11</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45</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涉外知识产权争端解决实务</w:t>
            </w:r>
          </w:p>
        </w:tc>
        <w:tc>
          <w:tcPr>
            <w:tcW w:w="4056" w:type="dxa"/>
            <w:vAlign w:val="center"/>
          </w:tcPr>
          <w:p>
            <w:pPr>
              <w:widowControl w:val="0"/>
              <w:kinsoku/>
              <w:autoSpaceDE/>
              <w:autoSpaceDN/>
              <w:adjustRightInd/>
              <w:snapToGrid/>
              <w:spacing w:line="360" w:lineRule="exact"/>
              <w:ind w:firstLine="960" w:firstLineChars="400"/>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何怀文 教授、博导</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浙江大学光华法学院</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浙江大学</w:t>
            </w:r>
            <w:r>
              <w:rPr>
                <w:rFonts w:ascii="仿宋_GB2312" w:hAnsi="仿宋_GB2312" w:eastAsia="仿宋_GB2312" w:cs="仿宋_GB2312"/>
                <w:snapToGrid/>
                <w:color w:val="000000"/>
                <w:kern w:val="2"/>
                <w:sz w:val="24"/>
                <w:szCs w:val="24"/>
                <w:shd w:val="clear" w:color="auto" w:fill="FFFFFF"/>
                <w:lang w:val="en-US" w:eastAsia="zh-CN" w:bidi="ar-SA"/>
              </w:rPr>
              <w:t>经济法所副所长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3</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20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16</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涉外法治和外国宪法</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郑磊 教授、博导</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浙江大学光华法学院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7</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20</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"珠江钱塘，携手启航"</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浙粤两地青年涉外律师共话成长主题交流会</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杭州律协青训营二期学员</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广东省涉外青年律师培养基础班学员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6" w:type="dxa"/>
            <w:vMerge w:val="restart"/>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8.18</w:t>
            </w:r>
          </w:p>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周日</w:t>
            </w: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8</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45</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11</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45</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东南亚投资实务与法律风险防范</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--以泰国、缅甸为例</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董  峰 主任</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auto"/>
                <w:kern w:val="2"/>
                <w:sz w:val="24"/>
                <w:szCs w:val="24"/>
                <w:shd w:val="clear" w:color="auto" w:fill="FFFFFF"/>
                <w:lang w:val="en-US" w:eastAsia="zh-CN" w:bidi="ar-SA"/>
              </w:rPr>
            </w:pPr>
            <w:r>
              <w:rPr>
                <w:rFonts w:hint="eastAsia" w:ascii="仿宋_GB2312" w:hAnsi="仿宋_GB2312" w:eastAsia="仿宋_GB2312" w:cs="仿宋_GB2312"/>
                <w:snapToGrid/>
                <w:color w:val="auto"/>
                <w:kern w:val="2"/>
                <w:sz w:val="24"/>
                <w:szCs w:val="24"/>
                <w:shd w:val="clear" w:color="auto" w:fill="FFFFFF"/>
                <w:lang w:val="en-US" w:eastAsia="zh-CN" w:bidi="ar-SA"/>
              </w:rPr>
              <w:t>泰国汉成律师事务所主任</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FF0000"/>
                <w:kern w:val="2"/>
                <w:sz w:val="24"/>
                <w:szCs w:val="24"/>
                <w:shd w:val="clear" w:color="auto" w:fill="FFFFFF"/>
                <w:lang w:val="en-US" w:eastAsia="zh-CN" w:bidi="ar-SA"/>
              </w:rPr>
            </w:pPr>
            <w:r>
              <w:rPr>
                <w:rFonts w:hint="eastAsia" w:ascii="仿宋_GB2312" w:hAnsi="仿宋_GB2312" w:eastAsia="仿宋_GB2312" w:cs="仿宋_GB2312"/>
                <w:snapToGrid/>
                <w:color w:val="auto"/>
                <w:kern w:val="2"/>
                <w:sz w:val="24"/>
                <w:szCs w:val="24"/>
                <w:shd w:val="clear" w:color="auto" w:fill="FFFFFF"/>
                <w:lang w:val="en-US" w:eastAsia="zh-CN" w:bidi="ar-SA"/>
              </w:rPr>
              <w:t>南平国际仲裁院东盟分院院长</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杭州律协国际投资专业委员会副主任</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浙江省涉外律师人才库入库专家</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泰国仲裁中心仲裁员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3</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20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16</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青年律师的国际化法律经济思维（上）</w:t>
            </w:r>
          </w:p>
        </w:tc>
        <w:tc>
          <w:tcPr>
            <w:tcW w:w="4056" w:type="dxa"/>
            <w:vMerge w:val="restart"/>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 xml:space="preserve">熊秉元 </w:t>
            </w:r>
            <w:r>
              <w:rPr>
                <w:rFonts w:ascii="仿宋_GB2312" w:hAnsi="仿宋_GB2312" w:eastAsia="仿宋_GB2312" w:cs="仿宋_GB2312"/>
                <w:snapToGrid/>
                <w:color w:val="000000"/>
                <w:kern w:val="2"/>
                <w:sz w:val="24"/>
                <w:szCs w:val="24"/>
                <w:shd w:val="clear" w:color="auto" w:fill="FFFFFF"/>
                <w:lang w:val="en-US" w:eastAsia="zh-CN" w:bidi="ar-SA"/>
              </w:rPr>
              <w:t xml:space="preserve"> 教授</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Tahoma" w:hAnsi="Tahoma" w:eastAsia="宋体" w:cs="Times New Roman"/>
                <w:snapToGrid/>
                <w:kern w:val="2"/>
                <w:sz w:val="24"/>
                <w:szCs w:val="24"/>
                <w:lang w:val="en-US" w:eastAsia="zh-CN" w:bidi="ar-SA"/>
              </w:rPr>
              <w:fldChar w:fldCharType="begin"/>
            </w:r>
            <w:r>
              <w:rPr>
                <w:rFonts w:ascii="Tahoma" w:hAnsi="Tahoma" w:eastAsia="宋体" w:cs="Times New Roman"/>
                <w:snapToGrid/>
                <w:kern w:val="2"/>
                <w:sz w:val="24"/>
                <w:szCs w:val="24"/>
                <w:lang w:val="en-US" w:eastAsia="zh-CN" w:bidi="ar-SA"/>
              </w:rPr>
              <w:instrText xml:space="preserve"> HYPERLINK "https://baike.baidu.com/item/%E5%8D%9A%E5%A3%AB%E7%94%9F%E5%AF%BC%E5%B8%88/11051132?fromModule=lemma_inlink" \t "_blank" </w:instrText>
            </w:r>
            <w:r>
              <w:rPr>
                <w:rFonts w:ascii="Tahoma" w:hAnsi="Tahoma" w:eastAsia="宋体" w:cs="Times New Roman"/>
                <w:snapToGrid/>
                <w:kern w:val="2"/>
                <w:sz w:val="24"/>
                <w:szCs w:val="24"/>
                <w:lang w:val="en-US" w:eastAsia="zh-CN" w:bidi="ar-SA"/>
              </w:rPr>
              <w:fldChar w:fldCharType="separate"/>
            </w:r>
            <w:r>
              <w:rPr>
                <w:rFonts w:ascii="仿宋_GB2312" w:hAnsi="仿宋_GB2312" w:eastAsia="仿宋_GB2312" w:cs="仿宋_GB2312"/>
                <w:snapToGrid/>
                <w:color w:val="000000"/>
                <w:kern w:val="2"/>
                <w:sz w:val="24"/>
                <w:szCs w:val="24"/>
                <w:shd w:val="clear" w:color="auto" w:fill="FFFFFF"/>
                <w:lang w:val="en-US" w:eastAsia="zh-CN" w:bidi="ar-SA"/>
              </w:rPr>
              <w:t>博导</w:t>
            </w:r>
            <w:r>
              <w:rPr>
                <w:rFonts w:ascii="仿宋_GB2312" w:hAnsi="仿宋_GB2312" w:eastAsia="仿宋_GB2312" w:cs="仿宋_GB2312"/>
                <w:snapToGrid/>
                <w:color w:val="000000"/>
                <w:kern w:val="2"/>
                <w:sz w:val="24"/>
                <w:szCs w:val="24"/>
                <w:shd w:val="clear" w:color="auto" w:fill="FFFFFF"/>
                <w:lang w:val="en-US" w:eastAsia="zh-CN" w:bidi="ar-SA"/>
              </w:rPr>
              <w:fldChar w:fldCharType="end"/>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Tahoma" w:hAnsi="Tahoma" w:eastAsia="宋体" w:cs="Times New Roman"/>
                <w:snapToGrid/>
                <w:kern w:val="2"/>
                <w:sz w:val="24"/>
                <w:szCs w:val="24"/>
                <w:lang w:val="en-US" w:eastAsia="zh-CN" w:bidi="ar-SA"/>
              </w:rPr>
              <w:fldChar w:fldCharType="begin"/>
            </w:r>
            <w:r>
              <w:rPr>
                <w:rFonts w:ascii="Tahoma" w:hAnsi="Tahoma" w:eastAsia="宋体" w:cs="Times New Roman"/>
                <w:snapToGrid/>
                <w:kern w:val="2"/>
                <w:sz w:val="24"/>
                <w:szCs w:val="24"/>
                <w:lang w:val="en-US" w:eastAsia="zh-CN" w:bidi="ar-SA"/>
              </w:rPr>
              <w:instrText xml:space="preserve"> HYPERLINK "https://baike.baidu.com/item/%E6%B5%99%E6%B1%9F%E5%A4%A7%E5%AD%A6%E7%BB%8F%E6%B5%8E%E5%AD%A6%E9%99%A2/3966925?fromModule=lemma_inlink" \t "_blank" </w:instrText>
            </w:r>
            <w:r>
              <w:rPr>
                <w:rFonts w:ascii="Tahoma" w:hAnsi="Tahoma" w:eastAsia="宋体" w:cs="Times New Roman"/>
                <w:snapToGrid/>
                <w:kern w:val="2"/>
                <w:sz w:val="24"/>
                <w:szCs w:val="24"/>
                <w:lang w:val="en-US" w:eastAsia="zh-CN" w:bidi="ar-SA"/>
              </w:rPr>
              <w:fldChar w:fldCharType="separate"/>
            </w:r>
            <w:r>
              <w:rPr>
                <w:rFonts w:ascii="仿宋_GB2312" w:hAnsi="仿宋_GB2312" w:eastAsia="仿宋_GB2312" w:cs="仿宋_GB2312"/>
                <w:snapToGrid/>
                <w:color w:val="000000"/>
                <w:kern w:val="2"/>
                <w:sz w:val="24"/>
                <w:szCs w:val="24"/>
                <w:shd w:val="clear" w:color="auto" w:fill="FFFFFF"/>
                <w:lang w:val="en-US" w:eastAsia="zh-CN" w:bidi="ar-SA"/>
              </w:rPr>
              <w:t>浙江大学经济学院</w:t>
            </w:r>
            <w:r>
              <w:rPr>
                <w:rFonts w:ascii="仿宋_GB2312" w:hAnsi="仿宋_GB2312" w:eastAsia="仿宋_GB2312" w:cs="仿宋_GB2312"/>
                <w:snapToGrid/>
                <w:color w:val="000000"/>
                <w:kern w:val="2"/>
                <w:sz w:val="24"/>
                <w:szCs w:val="24"/>
                <w:shd w:val="clear" w:color="auto" w:fill="FFFFFF"/>
                <w:lang w:val="en-US" w:eastAsia="zh-CN" w:bidi="ar-SA"/>
              </w:rPr>
              <w:fldChar w:fldCharType="end"/>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Tahoma" w:hAnsi="Tahoma" w:eastAsia="宋体" w:cs="Times New Roman"/>
                <w:snapToGrid/>
                <w:kern w:val="2"/>
                <w:sz w:val="24"/>
                <w:szCs w:val="24"/>
                <w:lang w:val="en-US" w:eastAsia="zh-CN" w:bidi="ar-SA"/>
              </w:rPr>
              <w:fldChar w:fldCharType="begin"/>
            </w:r>
            <w:r>
              <w:rPr>
                <w:rFonts w:ascii="Tahoma" w:hAnsi="Tahoma" w:eastAsia="宋体" w:cs="Times New Roman"/>
                <w:snapToGrid/>
                <w:kern w:val="2"/>
                <w:sz w:val="24"/>
                <w:szCs w:val="24"/>
                <w:lang w:val="en-US" w:eastAsia="zh-CN" w:bidi="ar-SA"/>
              </w:rPr>
              <w:instrText xml:space="preserve"> HYPERLINK "https://baike.baidu.com/item/%E6%B5%99%E6%B1%9F%E5%A4%A7%E5%AD%A6%E6%B3%95%E5%BE%8B%E4%B8%8E%E7%BB%8F%E6%B5%8E%E7%A0%94%E7%A9%B6%E4%B8%AD%E5%BF%83/22694984?fromModule=lemma_inlink" \t "_blank" </w:instrText>
            </w:r>
            <w:r>
              <w:rPr>
                <w:rFonts w:ascii="Tahoma" w:hAnsi="Tahoma" w:eastAsia="宋体" w:cs="Times New Roman"/>
                <w:snapToGrid/>
                <w:kern w:val="2"/>
                <w:sz w:val="24"/>
                <w:szCs w:val="24"/>
                <w:lang w:val="en-US" w:eastAsia="zh-CN" w:bidi="ar-SA"/>
              </w:rPr>
              <w:fldChar w:fldCharType="separate"/>
            </w:r>
            <w:r>
              <w:rPr>
                <w:rFonts w:ascii="仿宋_GB2312" w:hAnsi="仿宋_GB2312" w:eastAsia="仿宋_GB2312" w:cs="仿宋_GB2312"/>
                <w:snapToGrid/>
                <w:color w:val="000000"/>
                <w:kern w:val="2"/>
                <w:sz w:val="24"/>
                <w:szCs w:val="24"/>
                <w:shd w:val="clear" w:color="auto" w:fill="FFFFFF"/>
                <w:lang w:val="en-US" w:eastAsia="zh-CN" w:bidi="ar-SA"/>
              </w:rPr>
              <w:t>浙江大学法律与经济研究中心</w:t>
            </w:r>
            <w:r>
              <w:rPr>
                <w:rFonts w:ascii="仿宋_GB2312" w:hAnsi="仿宋_GB2312" w:eastAsia="仿宋_GB2312" w:cs="仿宋_GB2312"/>
                <w:snapToGrid/>
                <w:color w:val="000000"/>
                <w:kern w:val="2"/>
                <w:sz w:val="24"/>
                <w:szCs w:val="24"/>
                <w:shd w:val="clear" w:color="auto" w:fill="FFFFFF"/>
                <w:lang w:val="en-US" w:eastAsia="zh-CN" w:bidi="ar-SA"/>
              </w:rPr>
              <w:fldChar w:fldCharType="end"/>
            </w:r>
            <w:r>
              <w:rPr>
                <w:rFonts w:ascii="仿宋_GB2312" w:hAnsi="仿宋_GB2312" w:eastAsia="仿宋_GB2312" w:cs="仿宋_GB2312"/>
                <w:snapToGrid/>
                <w:color w:val="000000"/>
                <w:kern w:val="2"/>
                <w:sz w:val="24"/>
                <w:szCs w:val="24"/>
                <w:shd w:val="clear" w:color="auto" w:fill="FFFFFF"/>
                <w:lang w:val="en-US" w:eastAsia="zh-CN" w:bidi="ar-SA"/>
              </w:rPr>
              <w:t>主任</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著名法律经济学家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7</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20</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青年律师的国际化法律经济思维（下）</w:t>
            </w:r>
          </w:p>
        </w:tc>
        <w:tc>
          <w:tcPr>
            <w:tcW w:w="4056" w:type="dxa"/>
            <w:vMerge w:val="continue"/>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1016" w:type="dxa"/>
            <w:vMerge w:val="restart"/>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8.19</w:t>
            </w:r>
          </w:p>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周一</w:t>
            </w: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highlight w:val="none"/>
                <w:shd w:val="clear" w:color="auto" w:fill="FFFFFF"/>
                <w:lang w:val="en-US" w:eastAsia="zh-CN" w:bidi="ar-SA"/>
              </w:rPr>
            </w:pPr>
            <w:r>
              <w:rPr>
                <w:rFonts w:ascii="仿宋_GB2312" w:hAnsi="仿宋_GB2312" w:eastAsia="仿宋_GB2312" w:cs="仿宋_GB2312"/>
                <w:snapToGrid/>
                <w:color w:val="000000"/>
                <w:kern w:val="2"/>
                <w:sz w:val="24"/>
                <w:szCs w:val="24"/>
                <w:highlight w:val="none"/>
                <w:shd w:val="clear" w:color="auto" w:fill="FFFFFF"/>
                <w:lang w:val="en-US" w:eastAsia="zh-CN" w:bidi="ar-SA"/>
              </w:rPr>
              <w:t>8</w:t>
            </w: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w:t>
            </w:r>
            <w:r>
              <w:rPr>
                <w:rFonts w:ascii="仿宋_GB2312" w:hAnsi="仿宋_GB2312" w:eastAsia="仿宋_GB2312" w:cs="仿宋_GB2312"/>
                <w:snapToGrid/>
                <w:color w:val="000000"/>
                <w:kern w:val="2"/>
                <w:sz w:val="24"/>
                <w:szCs w:val="24"/>
                <w:highlight w:val="none"/>
                <w:shd w:val="clear" w:color="auto" w:fill="FFFFFF"/>
                <w:lang w:val="en-US" w:eastAsia="zh-CN" w:bidi="ar-SA"/>
              </w:rPr>
              <w:t>45</w:t>
            </w: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w:t>
            </w:r>
            <w:r>
              <w:rPr>
                <w:rFonts w:ascii="仿宋_GB2312" w:hAnsi="仿宋_GB2312" w:eastAsia="仿宋_GB2312" w:cs="仿宋_GB2312"/>
                <w:snapToGrid/>
                <w:color w:val="000000"/>
                <w:kern w:val="2"/>
                <w:sz w:val="24"/>
                <w:szCs w:val="24"/>
                <w:highlight w:val="none"/>
                <w:shd w:val="clear" w:color="auto" w:fill="FFFFFF"/>
                <w:lang w:val="en-US" w:eastAsia="zh-CN" w:bidi="ar-SA"/>
              </w:rPr>
              <w:t>11</w:t>
            </w: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w:t>
            </w:r>
            <w:r>
              <w:rPr>
                <w:rFonts w:ascii="仿宋_GB2312" w:hAnsi="仿宋_GB2312" w:eastAsia="仿宋_GB2312" w:cs="仿宋_GB2312"/>
                <w:snapToGrid/>
                <w:color w:val="000000"/>
                <w:kern w:val="2"/>
                <w:sz w:val="24"/>
                <w:szCs w:val="24"/>
                <w:highlight w:val="none"/>
                <w:shd w:val="clear" w:color="auto" w:fill="FFFFFF"/>
                <w:lang w:val="en-US" w:eastAsia="zh-CN" w:bidi="ar-SA"/>
              </w:rPr>
              <w:t>45</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highlight w:val="none"/>
                <w:shd w:val="clear" w:color="auto" w:fill="FFFFFF"/>
                <w:lang w:val="en-US" w:eastAsia="zh-CN" w:bidi="ar-SA"/>
              </w:rPr>
            </w:pP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跨境电商业务合规要点与典型案例分析及风险应对</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highlight w:val="none"/>
                <w:shd w:val="clear" w:color="auto" w:fill="FFFFFF"/>
                <w:lang w:val="en-US" w:eastAsia="zh-CN" w:bidi="ar-SA"/>
              </w:rPr>
            </w:pP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孙兴 合伙人</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highlight w:val="none"/>
                <w:shd w:val="clear" w:color="auto" w:fill="FFFFFF"/>
                <w:lang w:val="en-US" w:eastAsia="zh-CN" w:bidi="ar-SA"/>
              </w:rPr>
            </w:pP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金杜律师事务所</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highlight w:val="none"/>
                <w:shd w:val="clear" w:color="auto" w:fill="FFFFFF"/>
                <w:lang w:val="en-US" w:eastAsia="zh-CN" w:bidi="ar-SA"/>
              </w:rPr>
            </w:pP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韩国驻上海领事馆通关咨询委员</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highlight w:val="none"/>
                <w:shd w:val="clear" w:color="auto" w:fill="FFFFFF"/>
                <w:lang w:val="en-US" w:eastAsia="zh-CN" w:bidi="ar-SA"/>
              </w:rPr>
            </w:pP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中国人民大学海关与外汇法律研究所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highlight w:val="none"/>
                <w:shd w:val="clear" w:color="auto" w:fill="FFFFFF"/>
                <w:lang w:val="en-US" w:eastAsia="zh-CN" w:bidi="ar-SA"/>
              </w:rPr>
            </w:pP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1</w:t>
            </w:r>
            <w:r>
              <w:rPr>
                <w:rFonts w:ascii="仿宋_GB2312" w:hAnsi="仿宋_GB2312" w:eastAsia="仿宋_GB2312" w:cs="仿宋_GB2312"/>
                <w:snapToGrid/>
                <w:color w:val="000000"/>
                <w:kern w:val="2"/>
                <w:sz w:val="24"/>
                <w:szCs w:val="24"/>
                <w:highlight w:val="none"/>
                <w:shd w:val="clear" w:color="auto" w:fill="FFFFFF"/>
                <w:lang w:val="en-US" w:eastAsia="zh-CN" w:bidi="ar-SA"/>
              </w:rPr>
              <w:t>3</w:t>
            </w: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w:t>
            </w:r>
            <w:r>
              <w:rPr>
                <w:rFonts w:ascii="仿宋_GB2312" w:hAnsi="仿宋_GB2312" w:eastAsia="仿宋_GB2312" w:cs="仿宋_GB2312"/>
                <w:snapToGrid/>
                <w:color w:val="000000"/>
                <w:kern w:val="2"/>
                <w:sz w:val="24"/>
                <w:szCs w:val="24"/>
                <w:highlight w:val="none"/>
                <w:shd w:val="clear" w:color="auto" w:fill="FFFFFF"/>
                <w:lang w:val="en-US" w:eastAsia="zh-CN" w:bidi="ar-SA"/>
              </w:rPr>
              <w:t>20</w:t>
            </w: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w:t>
            </w:r>
            <w:r>
              <w:rPr>
                <w:rFonts w:ascii="仿宋_GB2312" w:hAnsi="仿宋_GB2312" w:eastAsia="仿宋_GB2312" w:cs="仿宋_GB2312"/>
                <w:snapToGrid/>
                <w:color w:val="000000"/>
                <w:kern w:val="2"/>
                <w:sz w:val="24"/>
                <w:szCs w:val="24"/>
                <w:highlight w:val="none"/>
                <w:shd w:val="clear" w:color="auto" w:fill="FFFFFF"/>
                <w:lang w:val="en-US" w:eastAsia="zh-CN" w:bidi="ar-SA"/>
              </w:rPr>
              <w:t>16</w:t>
            </w: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:3</w:t>
            </w:r>
            <w:r>
              <w:rPr>
                <w:rFonts w:ascii="仿宋_GB2312" w:hAnsi="仿宋_GB2312" w:eastAsia="仿宋_GB2312" w:cs="仿宋_GB2312"/>
                <w:snapToGrid/>
                <w:color w:val="000000"/>
                <w:kern w:val="2"/>
                <w:sz w:val="24"/>
                <w:szCs w:val="24"/>
                <w:highlight w:val="none"/>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highlight w:val="none"/>
                <w:shd w:val="clear" w:color="auto" w:fill="FFFFFF"/>
                <w:lang w:val="en-US" w:eastAsia="zh-CN" w:bidi="ar-SA"/>
              </w:rPr>
            </w:pP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香港法律概要及实务对接</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highlight w:val="none"/>
                <w:shd w:val="clear" w:color="auto" w:fill="FFFFFF"/>
                <w:lang w:val="en-US" w:eastAsia="zh-CN" w:bidi="ar-SA"/>
              </w:rPr>
            </w:pP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陈少彬 律师</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highlight w:val="none"/>
                <w:shd w:val="clear" w:color="auto" w:fill="FFFFFF"/>
                <w:lang w:val="en-US" w:eastAsia="zh-CN" w:bidi="ar-SA"/>
              </w:rPr>
            </w:pPr>
            <w:r>
              <w:rPr>
                <w:rFonts w:hint="eastAsia" w:ascii="仿宋_GB2312" w:hAnsi="仿宋_GB2312" w:eastAsia="仿宋_GB2312" w:cs="仿宋_GB2312"/>
                <w:snapToGrid/>
                <w:color w:val="000000"/>
                <w:kern w:val="2"/>
                <w:sz w:val="24"/>
                <w:szCs w:val="24"/>
                <w:highlight w:val="none"/>
                <w:shd w:val="clear" w:color="auto" w:fill="FFFFFF"/>
                <w:lang w:val="en-US" w:eastAsia="zh-CN" w:bidi="ar-SA"/>
              </w:rPr>
              <w:t>香港梁浩然律师事务所有限法律责任合伙资深顾问律师、京师浩然（前海）联营律师事务所联合创始人、粤港澳大湾区执业律师、深圳市涉外律师领军人才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7</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20</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跨境电子商务审判实务</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林蔡波 专员</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杭州互联网法院跨境贸易法庭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016" w:type="dxa"/>
            <w:vMerge w:val="restart"/>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8.20</w:t>
            </w:r>
          </w:p>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周二</w:t>
            </w: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8</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45</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11</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45</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涉外合同与涉外公证</w:t>
            </w:r>
          </w:p>
        </w:tc>
        <w:tc>
          <w:tcPr>
            <w:tcW w:w="4056" w:type="dxa"/>
            <w:vAlign w:val="center"/>
          </w:tcPr>
          <w:p>
            <w:pPr>
              <w:widowControl w:val="0"/>
              <w:kinsoku/>
              <w:autoSpaceDE/>
              <w:autoSpaceDN/>
              <w:adjustRightInd/>
              <w:snapToGrid/>
              <w:spacing w:line="360" w:lineRule="exact"/>
              <w:ind w:firstLine="1200" w:firstLineChars="500"/>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梁</w:t>
            </w:r>
            <w:r>
              <w:rPr>
                <w:rFonts w:hint="eastAsia" w:ascii="仿宋_GB2312" w:hAnsi="仿宋_GB2312" w:eastAsia="仿宋_GB2312" w:cs="仿宋_GB2312"/>
                <w:snapToGrid/>
                <w:color w:val="000000"/>
                <w:kern w:val="2"/>
                <w:sz w:val="24"/>
                <w:szCs w:val="24"/>
                <w:shd w:val="clear" w:color="auto" w:fill="FFFFFF"/>
                <w:lang w:val="en-US" w:eastAsia="zh-CN" w:bidi="ar-SA"/>
              </w:rPr>
              <w:t xml:space="preserve"> </w:t>
            </w:r>
            <w:r>
              <w:rPr>
                <w:rFonts w:ascii="仿宋_GB2312" w:hAnsi="仿宋_GB2312" w:eastAsia="仿宋_GB2312" w:cs="仿宋_GB2312"/>
                <w:snapToGrid/>
                <w:color w:val="000000"/>
                <w:kern w:val="2"/>
                <w:sz w:val="24"/>
                <w:szCs w:val="24"/>
                <w:shd w:val="clear" w:color="auto" w:fill="FFFFFF"/>
                <w:lang w:val="en-US" w:eastAsia="zh-CN" w:bidi="ar-SA"/>
              </w:rPr>
              <w:t xml:space="preserve"> 瑾</w:t>
            </w:r>
            <w:r>
              <w:rPr>
                <w:rFonts w:hint="eastAsia" w:ascii="仿宋_GB2312" w:hAnsi="仿宋_GB2312" w:eastAsia="仿宋_GB2312" w:cs="仿宋_GB2312"/>
                <w:snapToGrid/>
                <w:color w:val="000000"/>
                <w:kern w:val="2"/>
                <w:sz w:val="24"/>
                <w:szCs w:val="24"/>
                <w:shd w:val="clear" w:color="auto" w:fill="FFFFFF"/>
                <w:lang w:val="en-US" w:eastAsia="zh-CN" w:bidi="ar-SA"/>
              </w:rPr>
              <w:t xml:space="preserve"> </w:t>
            </w:r>
            <w:r>
              <w:rPr>
                <w:rFonts w:ascii="仿宋_GB2312" w:hAnsi="仿宋_GB2312" w:eastAsia="仿宋_GB2312" w:cs="仿宋_GB2312"/>
                <w:snapToGrid/>
                <w:color w:val="000000"/>
                <w:kern w:val="2"/>
                <w:sz w:val="24"/>
                <w:szCs w:val="24"/>
                <w:shd w:val="clear" w:color="auto" w:fill="FFFFFF"/>
                <w:lang w:val="en-US" w:eastAsia="zh-CN" w:bidi="ar-SA"/>
              </w:rPr>
              <w:t xml:space="preserve"> </w:t>
            </w:r>
            <w:r>
              <w:rPr>
                <w:rFonts w:hint="eastAsia" w:ascii="仿宋_GB2312" w:hAnsi="仿宋_GB2312" w:eastAsia="仿宋_GB2312" w:cs="仿宋_GB2312"/>
                <w:snapToGrid/>
                <w:color w:val="000000"/>
                <w:kern w:val="2"/>
                <w:sz w:val="24"/>
                <w:szCs w:val="24"/>
                <w:shd w:val="clear" w:color="auto" w:fill="FFFFFF"/>
                <w:lang w:val="en-US" w:eastAsia="zh-CN" w:bidi="ar-SA"/>
              </w:rPr>
              <w:t>主任</w:t>
            </w:r>
          </w:p>
          <w:p>
            <w:pPr>
              <w:widowControl w:val="0"/>
              <w:kinsoku/>
              <w:autoSpaceDE/>
              <w:autoSpaceDN/>
              <w:adjustRightInd/>
              <w:snapToGrid/>
              <w:spacing w:line="360" w:lineRule="exact"/>
              <w:ind w:firstLine="960" w:firstLineChars="400"/>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浙江大学实务导师</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浙江省律协证券与资本市场专业委员会主任</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中国国际经济贸易仲裁委员会仲裁员</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杭州市律师协会第十届常务理事、杭州市律师协会第十届业务指导与发展委员会副主任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3</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20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16</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现场教学：浙江大学科技创新馆</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浙江</w:t>
            </w:r>
            <w:r>
              <w:rPr>
                <w:rFonts w:hint="eastAsia" w:ascii="仿宋_GB2312" w:hAnsi="仿宋_GB2312" w:eastAsia="仿宋_GB2312" w:cs="仿宋_GB2312"/>
                <w:snapToGrid/>
                <w:color w:val="000000"/>
                <w:kern w:val="2"/>
                <w:sz w:val="24"/>
                <w:szCs w:val="24"/>
                <w:shd w:val="clear" w:color="auto" w:fill="FFFFFF"/>
                <w:lang w:val="en-US" w:eastAsia="zh-CN" w:bidi="ar-SA"/>
              </w:rPr>
              <w:t>大学</w:t>
            </w:r>
            <w:r>
              <w:rPr>
                <w:rFonts w:ascii="仿宋_GB2312" w:hAnsi="仿宋_GB2312" w:eastAsia="仿宋_GB2312" w:cs="仿宋_GB2312"/>
                <w:snapToGrid/>
                <w:color w:val="000000"/>
                <w:kern w:val="2"/>
                <w:sz w:val="24"/>
                <w:szCs w:val="24"/>
                <w:shd w:val="clear" w:color="auto" w:fill="FFFFFF"/>
                <w:lang w:val="en-US" w:eastAsia="zh-CN" w:bidi="ar-SA"/>
              </w:rPr>
              <w:t>尖端科技力量的科技成果在这里集中亮相集中展示浙江科技创新成就，最具标志性、引领性、窗口性的展馆之一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7</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20</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涉外文书的起草要点解析</w:t>
            </w:r>
          </w:p>
        </w:tc>
        <w:tc>
          <w:tcPr>
            <w:tcW w:w="4056" w:type="dxa"/>
            <w:vAlign w:val="center"/>
          </w:tcPr>
          <w:p>
            <w:pPr>
              <w:widowControl/>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章晓科 律师 高级合伙人</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炜衡上海分所执委、炜衡全国涉外业务部负责人</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上海市律师协会国际投资业务研究委员会主任</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上海市律师协会长三角律师一体化促进委员会副主任</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上海市律师协会青年律师工作委员会、信息工作委员会委员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1016" w:type="dxa"/>
            <w:vMerge w:val="restart"/>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8.21</w:t>
            </w:r>
          </w:p>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周三</w:t>
            </w: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8</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45</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11</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45</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数字化转型中的法律人一律师的视角与机会</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 xml:space="preserve">孙军工 </w:t>
            </w:r>
            <w:r>
              <w:rPr>
                <w:rFonts w:ascii="仿宋_GB2312" w:hAnsi="仿宋_GB2312" w:eastAsia="仿宋_GB2312" w:cs="仿宋_GB2312"/>
                <w:snapToGrid/>
                <w:color w:val="000000"/>
                <w:kern w:val="2"/>
                <w:sz w:val="24"/>
                <w:szCs w:val="24"/>
                <w:shd w:val="clear" w:color="auto" w:fill="FFFFFF"/>
                <w:lang w:val="en-US" w:eastAsia="zh-CN" w:bidi="ar-SA"/>
              </w:rPr>
              <w:t>研究员</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硕导</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浙江大学光华法学院</w:t>
            </w:r>
          </w:p>
          <w:p>
            <w:pPr>
              <w:widowControl w:val="0"/>
              <w:kinsoku/>
              <w:autoSpaceDE/>
              <w:autoSpaceDN/>
              <w:adjustRightInd/>
              <w:snapToGrid/>
              <w:spacing w:line="360" w:lineRule="exact"/>
              <w:ind w:firstLine="0" w:firstLineChars="0"/>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曾任</w:t>
            </w:r>
            <w:r>
              <w:rPr>
                <w:rFonts w:ascii="Tahoma" w:hAnsi="Tahoma" w:eastAsia="宋体" w:cs="Times New Roman"/>
                <w:snapToGrid/>
                <w:kern w:val="2"/>
                <w:sz w:val="24"/>
                <w:szCs w:val="24"/>
                <w:lang w:val="en-US" w:eastAsia="zh-CN" w:bidi="ar-SA"/>
              </w:rPr>
              <w:fldChar w:fldCharType="begin"/>
            </w:r>
            <w:r>
              <w:rPr>
                <w:rFonts w:ascii="Tahoma" w:hAnsi="Tahoma" w:eastAsia="宋体" w:cs="Times New Roman"/>
                <w:snapToGrid/>
                <w:kern w:val="2"/>
                <w:sz w:val="24"/>
                <w:szCs w:val="24"/>
                <w:lang w:val="en-US" w:eastAsia="zh-CN" w:bidi="ar-SA"/>
              </w:rPr>
              <w:instrText xml:space="preserve"> HYPERLINK "https://baike.baidu.com/item/%E6%9C%80%E9%AB%98%E4%BA%BA%E6%B0%91%E6%B3%95%E9%99%A2/1525649?fromModule=lemma_inlink" \t "_blank" </w:instrText>
            </w:r>
            <w:r>
              <w:rPr>
                <w:rFonts w:ascii="Tahoma" w:hAnsi="Tahoma" w:eastAsia="宋体" w:cs="Times New Roman"/>
                <w:snapToGrid/>
                <w:kern w:val="2"/>
                <w:sz w:val="24"/>
                <w:szCs w:val="24"/>
                <w:lang w:val="en-US" w:eastAsia="zh-CN" w:bidi="ar-SA"/>
              </w:rPr>
              <w:fldChar w:fldCharType="separate"/>
            </w:r>
            <w:r>
              <w:rPr>
                <w:rFonts w:ascii="仿宋_GB2312" w:hAnsi="仿宋_GB2312" w:eastAsia="仿宋_GB2312" w:cs="仿宋_GB2312"/>
                <w:snapToGrid/>
                <w:color w:val="000000"/>
                <w:kern w:val="2"/>
                <w:sz w:val="24"/>
                <w:szCs w:val="24"/>
                <w:shd w:val="clear" w:color="auto" w:fill="FFFFFF"/>
                <w:lang w:val="en-US" w:eastAsia="zh-CN" w:bidi="ar-SA"/>
              </w:rPr>
              <w:t>最高人民法院</w:t>
            </w:r>
            <w:r>
              <w:rPr>
                <w:rFonts w:ascii="仿宋_GB2312" w:hAnsi="仿宋_GB2312" w:eastAsia="仿宋_GB2312" w:cs="仿宋_GB2312"/>
                <w:snapToGrid/>
                <w:color w:val="000000"/>
                <w:kern w:val="2"/>
                <w:sz w:val="24"/>
                <w:szCs w:val="24"/>
                <w:shd w:val="clear" w:color="auto" w:fill="FFFFFF"/>
                <w:lang w:val="en-US" w:eastAsia="zh-CN" w:bidi="ar-SA"/>
              </w:rPr>
              <w:fldChar w:fldCharType="end"/>
            </w:r>
            <w:r>
              <w:rPr>
                <w:rFonts w:ascii="仿宋_GB2312" w:hAnsi="仿宋_GB2312" w:eastAsia="仿宋_GB2312" w:cs="仿宋_GB2312"/>
                <w:snapToGrid/>
                <w:color w:val="000000"/>
                <w:kern w:val="2"/>
                <w:sz w:val="24"/>
                <w:szCs w:val="24"/>
                <w:shd w:val="clear" w:color="auto" w:fill="FFFFFF"/>
                <w:lang w:val="en-US" w:eastAsia="zh-CN" w:bidi="ar-SA"/>
              </w:rPr>
              <w:t>新闻局副局长（主持工作）、</w:t>
            </w:r>
            <w:r>
              <w:rPr>
                <w:rFonts w:ascii="Tahoma" w:hAnsi="Tahoma" w:eastAsia="宋体" w:cs="Times New Roman"/>
                <w:snapToGrid/>
                <w:kern w:val="2"/>
                <w:sz w:val="24"/>
                <w:szCs w:val="24"/>
                <w:lang w:val="en-US" w:eastAsia="zh-CN" w:bidi="ar-SA"/>
              </w:rPr>
              <w:fldChar w:fldCharType="begin"/>
            </w:r>
            <w:r>
              <w:rPr>
                <w:rFonts w:ascii="Tahoma" w:hAnsi="Tahoma" w:eastAsia="宋体" w:cs="Times New Roman"/>
                <w:snapToGrid/>
                <w:kern w:val="2"/>
                <w:sz w:val="24"/>
                <w:szCs w:val="24"/>
                <w:lang w:val="en-US" w:eastAsia="zh-CN" w:bidi="ar-SA"/>
              </w:rPr>
              <w:instrText xml:space="preserve"> HYPERLINK "https://baike.baidu.com/item/%E6%9C%80%E9%AB%98%E4%BA%BA%E6%B0%91%E6%B3%95%E9%99%A2?fromModule=lemma_inlink" \t "_blank" </w:instrText>
            </w:r>
            <w:r>
              <w:rPr>
                <w:rFonts w:ascii="Tahoma" w:hAnsi="Tahoma" w:eastAsia="宋体" w:cs="Times New Roman"/>
                <w:snapToGrid/>
                <w:kern w:val="2"/>
                <w:sz w:val="24"/>
                <w:szCs w:val="24"/>
                <w:lang w:val="en-US" w:eastAsia="zh-CN" w:bidi="ar-SA"/>
              </w:rPr>
              <w:fldChar w:fldCharType="separate"/>
            </w:r>
            <w:r>
              <w:rPr>
                <w:rFonts w:ascii="仿宋_GB2312" w:hAnsi="仿宋_GB2312" w:eastAsia="仿宋_GB2312" w:cs="仿宋_GB2312"/>
                <w:snapToGrid/>
                <w:color w:val="000000"/>
                <w:kern w:val="2"/>
                <w:sz w:val="24"/>
                <w:szCs w:val="24"/>
                <w:shd w:val="clear" w:color="auto" w:fill="FFFFFF"/>
                <w:lang w:val="en-US" w:eastAsia="zh-CN" w:bidi="ar-SA"/>
              </w:rPr>
              <w:t>最高人民法院</w:t>
            </w:r>
            <w:r>
              <w:rPr>
                <w:rFonts w:ascii="仿宋_GB2312" w:hAnsi="仿宋_GB2312" w:eastAsia="仿宋_GB2312" w:cs="仿宋_GB2312"/>
                <w:snapToGrid/>
                <w:color w:val="000000"/>
                <w:kern w:val="2"/>
                <w:sz w:val="24"/>
                <w:szCs w:val="24"/>
                <w:shd w:val="clear" w:color="auto" w:fill="FFFFFF"/>
                <w:lang w:val="en-US" w:eastAsia="zh-CN" w:bidi="ar-SA"/>
              </w:rPr>
              <w:fldChar w:fldCharType="end"/>
            </w:r>
            <w:r>
              <w:rPr>
                <w:rFonts w:ascii="仿宋_GB2312" w:hAnsi="仿宋_GB2312" w:eastAsia="仿宋_GB2312" w:cs="仿宋_GB2312"/>
                <w:snapToGrid/>
                <w:color w:val="000000"/>
                <w:kern w:val="2"/>
                <w:sz w:val="24"/>
                <w:szCs w:val="24"/>
                <w:shd w:val="clear" w:color="auto" w:fill="FFFFFF"/>
                <w:lang w:val="en-US" w:eastAsia="zh-CN" w:bidi="ar-SA"/>
              </w:rPr>
              <w:t>新闻发言人</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原</w:t>
            </w:r>
            <w:r>
              <w:rPr>
                <w:rFonts w:ascii="仿宋_GB2312" w:hAnsi="仿宋_GB2312" w:eastAsia="仿宋_GB2312" w:cs="仿宋_GB2312"/>
                <w:snapToGrid/>
                <w:color w:val="000000"/>
                <w:kern w:val="2"/>
                <w:sz w:val="24"/>
                <w:szCs w:val="24"/>
                <w:shd w:val="clear" w:color="auto" w:fill="FFFFFF"/>
                <w:lang w:val="en-US" w:eastAsia="zh-CN" w:bidi="ar-SA"/>
              </w:rPr>
              <w:t>阿里巴巴副总裁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3</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20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16</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现场教学：蚂蚁金服或阿里云谷或大华科技</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全体学员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1016" w:type="dxa"/>
            <w:vMerge w:val="continue"/>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7</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20</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国际贸易与争端解决实务</w:t>
            </w:r>
          </w:p>
        </w:tc>
        <w:tc>
          <w:tcPr>
            <w:tcW w:w="4056" w:type="dxa"/>
            <w:vAlign w:val="center"/>
          </w:tcPr>
          <w:p>
            <w:pPr>
              <w:widowControl w:val="0"/>
              <w:kinsoku/>
              <w:autoSpaceDE/>
              <w:autoSpaceDN/>
              <w:adjustRightInd/>
              <w:snapToGrid/>
              <w:spacing w:line="360" w:lineRule="exact"/>
              <w:ind w:firstLine="240" w:firstLineChars="100"/>
              <w:jc w:val="left"/>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 xml:space="preserve">钱 旭 </w:t>
            </w:r>
            <w:r>
              <w:rPr>
                <w:rFonts w:ascii="仿宋_GB2312" w:hAnsi="仿宋_GB2312" w:eastAsia="仿宋_GB2312" w:cs="仿宋_GB2312"/>
                <w:snapToGrid/>
                <w:color w:val="000000"/>
                <w:kern w:val="2"/>
                <w:sz w:val="24"/>
                <w:szCs w:val="24"/>
                <w:shd w:val="clear" w:color="auto" w:fill="FFFFFF"/>
                <w:lang w:val="en-US" w:eastAsia="zh-CN" w:bidi="ar-SA"/>
              </w:rPr>
              <w:t xml:space="preserve"> </w:t>
            </w:r>
            <w:r>
              <w:rPr>
                <w:rFonts w:hint="eastAsia" w:ascii="仿宋_GB2312" w:hAnsi="仿宋_GB2312" w:eastAsia="仿宋_GB2312" w:cs="仿宋_GB2312"/>
                <w:snapToGrid/>
                <w:color w:val="000000"/>
                <w:kern w:val="2"/>
                <w:sz w:val="24"/>
                <w:szCs w:val="24"/>
                <w:shd w:val="clear" w:color="auto" w:fill="FFFFFF"/>
                <w:lang w:val="en-US" w:eastAsia="zh-CN" w:bidi="ar-SA"/>
              </w:rPr>
              <w:t>百人计划研究员、博导</w:t>
            </w:r>
          </w:p>
          <w:p>
            <w:pPr>
              <w:widowControl w:val="0"/>
              <w:kinsoku/>
              <w:autoSpaceDE/>
              <w:autoSpaceDN/>
              <w:adjustRightInd/>
              <w:snapToGrid/>
              <w:spacing w:line="360" w:lineRule="exact"/>
              <w:ind w:firstLine="0" w:firstLineChars="0"/>
              <w:jc w:val="center"/>
              <w:textAlignment w:val="auto"/>
              <w:rPr>
                <w:rFonts w:ascii="Tahoma" w:hAnsi="Tahoma" w:eastAsia="宋体" w:cs="Times New Roman"/>
                <w:snapToGrid/>
                <w:kern w:val="2"/>
                <w:sz w:val="24"/>
                <w:szCs w:val="24"/>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浙江大学光华法学院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016" w:type="dxa"/>
            <w:vMerge w:val="restart"/>
            <w:vAlign w:val="center"/>
          </w:tcPr>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 xml:space="preserve"> 8.22</w:t>
            </w:r>
          </w:p>
          <w:p>
            <w:pPr>
              <w:widowControl/>
              <w:kinsoku/>
              <w:autoSpaceDE/>
              <w:autoSpaceDN/>
              <w:adjustRightInd/>
              <w:snapToGrid/>
              <w:spacing w:line="360" w:lineRule="exact"/>
              <w:ind w:firstLine="0" w:firstLineChars="0"/>
              <w:jc w:val="center"/>
              <w:textAlignment w:val="auto"/>
              <w:rPr>
                <w:rFonts w:hint="eastAsia"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周四</w:t>
            </w: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8</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45</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11</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45</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中国企业跨境投资</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收购中的律师操作实务</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郑晓东 主任</w:t>
            </w:r>
          </w:p>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北京金诚同达律师事务所执行主任，兼任北京金诚同达（杭州）律师事务所负责人</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上海金融与法律研究院特聘研究员《亚洲法律杂志》ALB 评为“2018年十五佳并购律师”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016" w:type="dxa"/>
            <w:vMerge w:val="continue"/>
            <w:vAlign w:val="center"/>
          </w:tcPr>
          <w:p>
            <w:pPr>
              <w:widowControl/>
              <w:kinsoku/>
              <w:autoSpaceDE/>
              <w:autoSpaceDN/>
              <w:adjustRightInd/>
              <w:snapToGrid/>
              <w:spacing w:line="360" w:lineRule="exact"/>
              <w:ind w:firstLine="0" w:firstLineChars="0"/>
              <w:textAlignment w:val="auto"/>
              <w:rPr>
                <w:rFonts w:ascii="仿宋_GB2312" w:hAnsi="仿宋_GB2312" w:eastAsia="仿宋_GB2312" w:cs="仿宋_GB2312"/>
                <w:snapToGrid/>
                <w:color w:val="000000"/>
                <w:kern w:val="2"/>
                <w:sz w:val="24"/>
                <w:szCs w:val="24"/>
                <w:shd w:val="clear" w:color="auto" w:fill="FFFFFF"/>
                <w:lang w:val="en-US" w:eastAsia="zh-CN" w:bidi="ar-SA"/>
              </w:rPr>
            </w:pPr>
          </w:p>
        </w:tc>
        <w:tc>
          <w:tcPr>
            <w:tcW w:w="1609"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1</w:t>
            </w:r>
            <w:r>
              <w:rPr>
                <w:rFonts w:ascii="仿宋_GB2312" w:hAnsi="仿宋_GB2312" w:eastAsia="仿宋_GB2312" w:cs="仿宋_GB2312"/>
                <w:snapToGrid/>
                <w:color w:val="000000"/>
                <w:kern w:val="2"/>
                <w:sz w:val="24"/>
                <w:szCs w:val="24"/>
                <w:shd w:val="clear" w:color="auto" w:fill="FFFFFF"/>
                <w:lang w:val="en-US" w:eastAsia="zh-CN" w:bidi="ar-SA"/>
              </w:rPr>
              <w:t>3</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20</w:t>
            </w:r>
            <w:r>
              <w:rPr>
                <w:rFonts w:hint="eastAsia" w:ascii="仿宋_GB2312" w:hAnsi="仿宋_GB2312" w:eastAsia="仿宋_GB2312" w:cs="仿宋_GB2312"/>
                <w:snapToGrid/>
                <w:color w:val="000000"/>
                <w:kern w:val="2"/>
                <w:sz w:val="24"/>
                <w:szCs w:val="24"/>
                <w:shd w:val="clear" w:color="auto" w:fill="FFFFFF"/>
                <w:lang w:val="en-US" w:eastAsia="zh-CN" w:bidi="ar-SA"/>
              </w:rPr>
              <w:t>-</w:t>
            </w:r>
            <w:r>
              <w:rPr>
                <w:rFonts w:ascii="仿宋_GB2312" w:hAnsi="仿宋_GB2312" w:eastAsia="仿宋_GB2312" w:cs="仿宋_GB2312"/>
                <w:snapToGrid/>
                <w:color w:val="000000"/>
                <w:kern w:val="2"/>
                <w:sz w:val="24"/>
                <w:szCs w:val="24"/>
                <w:shd w:val="clear" w:color="auto" w:fill="FFFFFF"/>
                <w:lang w:val="en-US" w:eastAsia="zh-CN" w:bidi="ar-SA"/>
              </w:rPr>
              <w:t>16</w:t>
            </w:r>
            <w:r>
              <w:rPr>
                <w:rFonts w:hint="eastAsia" w:ascii="仿宋_GB2312" w:hAnsi="仿宋_GB2312" w:eastAsia="仿宋_GB2312" w:cs="仿宋_GB2312"/>
                <w:snapToGrid/>
                <w:color w:val="000000"/>
                <w:kern w:val="2"/>
                <w:sz w:val="24"/>
                <w:szCs w:val="24"/>
                <w:shd w:val="clear" w:color="auto" w:fill="FFFFFF"/>
                <w:lang w:val="en-US" w:eastAsia="zh-CN" w:bidi="ar-SA"/>
              </w:rPr>
              <w:t>:3</w:t>
            </w:r>
            <w:r>
              <w:rPr>
                <w:rFonts w:ascii="仿宋_GB2312" w:hAnsi="仿宋_GB2312" w:eastAsia="仿宋_GB2312" w:cs="仿宋_GB2312"/>
                <w:snapToGrid/>
                <w:color w:val="000000"/>
                <w:kern w:val="2"/>
                <w:sz w:val="24"/>
                <w:szCs w:val="24"/>
                <w:shd w:val="clear" w:color="auto" w:fill="FFFFFF"/>
                <w:lang w:val="en-US" w:eastAsia="zh-CN" w:bidi="ar-SA"/>
              </w:rPr>
              <w:t>0</w:t>
            </w:r>
          </w:p>
        </w:tc>
        <w:tc>
          <w:tcPr>
            <w:tcW w:w="3640"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现场教学：五四宪法历史资料陈列馆——开展宪法宣传教育</w:t>
            </w:r>
          </w:p>
        </w:tc>
        <w:tc>
          <w:tcPr>
            <w:tcW w:w="4056" w:type="dxa"/>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全体学员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16" w:type="dxa"/>
            <w:vMerge w:val="continue"/>
            <w:vAlign w:val="center"/>
          </w:tcPr>
          <w:p>
            <w:pPr>
              <w:widowControl/>
              <w:kinsoku/>
              <w:autoSpaceDE/>
              <w:autoSpaceDN/>
              <w:adjustRightInd/>
              <w:snapToGrid/>
              <w:spacing w:line="360" w:lineRule="exact"/>
              <w:ind w:firstLine="0" w:firstLineChars="0"/>
              <w:textAlignment w:val="auto"/>
              <w:rPr>
                <w:rFonts w:ascii="仿宋_GB2312" w:hAnsi="仿宋_GB2312" w:eastAsia="仿宋_GB2312" w:cs="仿宋_GB2312"/>
                <w:snapToGrid/>
                <w:color w:val="000000"/>
                <w:kern w:val="2"/>
                <w:sz w:val="24"/>
                <w:szCs w:val="24"/>
                <w:shd w:val="clear" w:color="auto" w:fill="FFFFFF"/>
                <w:lang w:val="en-US" w:eastAsia="zh-CN" w:bidi="ar-SA"/>
              </w:rPr>
            </w:pPr>
          </w:p>
        </w:tc>
        <w:tc>
          <w:tcPr>
            <w:tcW w:w="9305" w:type="dxa"/>
            <w:gridSpan w:val="3"/>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结业仪式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16" w:type="dxa"/>
            <w:vAlign w:val="center"/>
          </w:tcPr>
          <w:p>
            <w:pPr>
              <w:widowControl/>
              <w:kinsoku/>
              <w:autoSpaceDE/>
              <w:autoSpaceDN/>
              <w:adjustRightInd/>
              <w:snapToGrid/>
              <w:spacing w:line="360" w:lineRule="exact"/>
              <w:ind w:firstLine="240" w:firstLineChars="100"/>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ascii="仿宋_GB2312" w:hAnsi="仿宋_GB2312" w:eastAsia="仿宋_GB2312" w:cs="仿宋_GB2312"/>
                <w:snapToGrid/>
                <w:color w:val="000000"/>
                <w:kern w:val="2"/>
                <w:sz w:val="24"/>
                <w:szCs w:val="24"/>
                <w:shd w:val="clear" w:color="auto" w:fill="FFFFFF"/>
                <w:lang w:val="en-US" w:eastAsia="zh-CN" w:bidi="ar-SA"/>
              </w:rPr>
              <w:t>8.23</w:t>
            </w:r>
          </w:p>
        </w:tc>
        <w:tc>
          <w:tcPr>
            <w:tcW w:w="9305" w:type="dxa"/>
            <w:gridSpan w:val="3"/>
            <w:vAlign w:val="center"/>
          </w:tcPr>
          <w:p>
            <w:pPr>
              <w:widowControl w:val="0"/>
              <w:kinsoku/>
              <w:autoSpaceDE/>
              <w:autoSpaceDN/>
              <w:adjustRightInd/>
              <w:snapToGrid/>
              <w:spacing w:line="360" w:lineRule="exact"/>
              <w:ind w:firstLine="0" w:firstLineChars="0"/>
              <w:jc w:val="center"/>
              <w:textAlignment w:val="auto"/>
              <w:rPr>
                <w:rFonts w:ascii="仿宋_GB2312" w:hAnsi="仿宋_GB2312" w:eastAsia="仿宋_GB2312" w:cs="仿宋_GB2312"/>
                <w:snapToGrid/>
                <w:color w:val="000000"/>
                <w:kern w:val="2"/>
                <w:sz w:val="24"/>
                <w:szCs w:val="24"/>
                <w:shd w:val="clear" w:color="auto" w:fill="FFFFFF"/>
                <w:lang w:val="en-US" w:eastAsia="zh-CN" w:bidi="ar-SA"/>
              </w:rPr>
            </w:pPr>
            <w:r>
              <w:rPr>
                <w:rFonts w:hint="eastAsia" w:ascii="仿宋_GB2312" w:hAnsi="仿宋_GB2312" w:eastAsia="仿宋_GB2312" w:cs="仿宋_GB2312"/>
                <w:snapToGrid/>
                <w:color w:val="000000"/>
                <w:kern w:val="2"/>
                <w:sz w:val="24"/>
                <w:szCs w:val="24"/>
                <w:shd w:val="clear" w:color="auto" w:fill="FFFFFF"/>
                <w:lang w:val="en-US" w:eastAsia="zh-CN" w:bidi="ar-SA"/>
              </w:rPr>
              <w:t>全体返程</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FangSong_GB2312">
    <w:altName w:val="仿宋_GB2312"/>
    <w:panose1 w:val="020B0604020202020204"/>
    <w:charset w:val="86"/>
    <w:family w:val="auto"/>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yMWViZmVkMWFjYTIwNzUwMmYyZWNiN2I2Yjc0ZGEifQ=="/>
  </w:docVars>
  <w:rsids>
    <w:rsidRoot w:val="72FB56EB"/>
    <w:rsid w:val="00BA02CB"/>
    <w:rsid w:val="0F145B57"/>
    <w:rsid w:val="56DB0019"/>
    <w:rsid w:val="5BF94355"/>
    <w:rsid w:val="5CD901EE"/>
    <w:rsid w:val="69346428"/>
    <w:rsid w:val="72FB56EB"/>
    <w:rsid w:val="76A34C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560" w:lineRule="exact"/>
      <w:ind w:firstLine="420" w:firstLineChars="200"/>
      <w:jc w:val="both"/>
      <w:textAlignment w:val="baseline"/>
    </w:pPr>
    <w:rPr>
      <w:rFonts w:ascii="Times New Roman" w:hAnsi="Times New Roman" w:eastAsia="仿宋_GB2312" w:cs="Times New Roman"/>
      <w:snapToGrid w:val="0"/>
      <w:color w:val="000000"/>
      <w:kern w:val="0"/>
      <w:sz w:val="32"/>
      <w:szCs w:val="21"/>
    </w:rPr>
  </w:style>
  <w:style w:type="paragraph" w:styleId="3">
    <w:name w:val="heading 1"/>
    <w:basedOn w:val="1"/>
    <w:next w:val="1"/>
    <w:link w:val="7"/>
    <w:qFormat/>
    <w:uiPriority w:val="0"/>
    <w:pPr>
      <w:keepNext/>
      <w:keepLines/>
      <w:spacing w:beforeLines="0" w:beforeAutospacing="0" w:afterLines="0" w:afterAutospacing="0" w:line="560" w:lineRule="exact"/>
      <w:outlineLvl w:val="1"/>
    </w:pPr>
    <w:rPr>
      <w:rFonts w:eastAsia="黑体"/>
      <w:kern w:val="44"/>
      <w:sz w:val="32"/>
    </w:rPr>
  </w:style>
  <w:style w:type="paragraph" w:styleId="4">
    <w:name w:val="heading 2"/>
    <w:basedOn w:val="1"/>
    <w:next w:val="1"/>
    <w:link w:val="8"/>
    <w:semiHidden/>
    <w:unhideWhenUsed/>
    <w:qFormat/>
    <w:uiPriority w:val="0"/>
    <w:pPr>
      <w:keepNext/>
      <w:keepLines/>
      <w:spacing w:line="560" w:lineRule="exact"/>
      <w:ind w:firstLine="883" w:firstLineChars="200"/>
      <w:outlineLvl w:val="2"/>
    </w:pPr>
    <w:rPr>
      <w:rFonts w:eastAsia="楷体" w:cstheme="majorBidi"/>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character" w:customStyle="1" w:styleId="7">
    <w:name w:val="标题 1 Char"/>
    <w:link w:val="3"/>
    <w:qFormat/>
    <w:uiPriority w:val="0"/>
    <w:rPr>
      <w:rFonts w:eastAsia="黑体"/>
      <w:kern w:val="44"/>
      <w:sz w:val="32"/>
    </w:rPr>
  </w:style>
  <w:style w:type="character" w:customStyle="1" w:styleId="8">
    <w:name w:val="标题 2 字符"/>
    <w:basedOn w:val="6"/>
    <w:link w:val="4"/>
    <w:qFormat/>
    <w:uiPriority w:val="99"/>
    <w:rPr>
      <w:rFonts w:ascii="Times New Roman" w:hAnsi="Times New Roman" w:eastAsia="楷体" w:cstheme="majorBidi"/>
      <w:sz w:val="32"/>
      <w:szCs w:val="32"/>
    </w:rPr>
  </w:style>
  <w:style w:type="paragraph" w:customStyle="1" w:styleId="9">
    <w:name w:val="1级标题"/>
    <w:basedOn w:val="1"/>
    <w:qFormat/>
    <w:uiPriority w:val="0"/>
    <w:pPr>
      <w:snapToGrid w:val="0"/>
      <w:spacing w:line="560" w:lineRule="exact"/>
      <w:jc w:val="left"/>
      <w:outlineLvl w:val="1"/>
    </w:pPr>
    <w:rPr>
      <w:rFonts w:ascii="仿宋" w:hAnsi="仿宋" w:eastAsia="黑体" w:cstheme="minorBidi"/>
      <w:color w:val="000000" w:themeColor="text1"/>
      <w:kern w:val="2"/>
      <w:szCs w:val="32"/>
      <w:lang w:val="en-US" w:eastAsia="zh-CN" w:bidi="ar-SA"/>
      <w14:textFill>
        <w14:solidFill>
          <w14:schemeClr w14:val="tx1"/>
        </w14:solidFill>
      </w14:textFil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4</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2024-07-30T02:48:00Z</dcterms:created>
  <dc:creator>调研部</dc:creator>
  <cp:lastModifiedBy>调研部</cp:lastModifiedBy>
  <dcterms:modified xsi:type="dcterms:W3CDTF">2024-07-30T02:53:31Z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D0BC21D4C95149BB888C328C57C6F3BD_11</vt:lpwstr>
  </property>
</Properties>
</file>