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80" w:afterAutospacing="0" w:line="616" w:lineRule="atLeast"/>
        <w:ind w:left="0" w:right="0" w:firstLine="0"/>
        <w:rPr>
          <w:rFonts w:hint="eastAsia" w:ascii="宋体" w:hAnsi="宋体" w:eastAsia="宋体"/>
          <w:sz w:val="28"/>
        </w:rPr>
      </w:pPr>
      <w:r>
        <w:rPr>
          <w:rFonts w:hint="eastAsia" w:ascii="黑体" w:hAnsi="黑体" w:eastAsia="黑体"/>
        </w:rPr>
        <w:t>【</w:t>
      </w:r>
      <w:r>
        <w:rPr>
          <w:rFonts w:hint="eastAsia" w:ascii="黑体" w:hAnsi="黑体" w:eastAsia="黑体"/>
          <w:b/>
          <w:sz w:val="28"/>
          <w:lang w:val="en-US" w:eastAsia="zh-CN"/>
        </w:rPr>
        <w:t>网络资源名称</w:t>
      </w:r>
      <w:r>
        <w:rPr>
          <w:rFonts w:hint="eastAsia"/>
        </w:rPr>
        <w:t>】</w:t>
      </w:r>
      <w:r>
        <w:rPr>
          <w:rFonts w:hint="eastAsia" w:ascii="宋体" w:hAnsi="宋体" w:eastAsia="宋体"/>
          <w:sz w:val="28"/>
        </w:rPr>
        <w:t>：</w:t>
      </w:r>
      <w:bookmarkStart w:id="0" w:name="_GoBack"/>
      <w:r>
        <w:rPr>
          <w:rFonts w:hint="eastAsia" w:ascii="宋体" w:hAnsi="宋体" w:eastAsia="宋体"/>
          <w:sz w:val="28"/>
        </w:rPr>
        <w:t>以刑事制裁手段依法惩治危害金融安全犯罪</w:t>
      </w:r>
      <w:bookmarkEnd w:id="0"/>
    </w:p>
    <w:p>
      <w:pPr>
        <w:shd w:val="clear" w:color="auto" w:fill="FFFFFF"/>
        <w:spacing w:line="420" w:lineRule="atLeast"/>
        <w:rPr>
          <w:rFonts w:ascii="宋体" w:hAnsi="宋体" w:eastAsia="宋体"/>
          <w:sz w:val="28"/>
        </w:rPr>
      </w:pPr>
    </w:p>
    <w:p>
      <w:pPr>
        <w:shd w:val="clear" w:color="auto" w:fill="FFFFFF"/>
      </w:pPr>
    </w:p>
    <w:p>
      <w:pPr>
        <w:rPr>
          <w:rFonts w:hint="default" w:ascii="宋体" w:hAnsi="宋体" w:eastAsia="宋体"/>
          <w:sz w:val="28"/>
          <w:lang w:val="en-US" w:eastAsia="zh-CN"/>
        </w:rPr>
      </w:pPr>
      <w:r>
        <w:rPr>
          <w:rFonts w:hint="eastAsia" w:ascii="黑体" w:hAnsi="黑体" w:eastAsia="黑体"/>
          <w:b/>
          <w:sz w:val="28"/>
        </w:rPr>
        <w:t>【来源】：</w:t>
      </w:r>
      <w:r>
        <w:rPr>
          <w:rFonts w:hint="eastAsia" w:ascii="黑体" w:hAnsi="黑体" w:eastAsia="黑体"/>
          <w:b/>
          <w:sz w:val="28"/>
          <w:lang w:val="en-US" w:eastAsia="zh-Hans"/>
        </w:rPr>
        <w:t>法治</w:t>
      </w:r>
      <w:r>
        <w:rPr>
          <w:rFonts w:hint="eastAsia" w:ascii="黑体" w:hAnsi="黑体" w:eastAsia="黑体"/>
          <w:b/>
          <w:sz w:val="28"/>
        </w:rPr>
        <w:t>网</w:t>
      </w:r>
    </w:p>
    <w:p>
      <w:pPr>
        <w:rPr>
          <w:rFonts w:ascii="宋体" w:hAnsi="宋体" w:eastAsia="宋体"/>
          <w:sz w:val="28"/>
        </w:rPr>
      </w:pPr>
    </w:p>
    <w:p>
      <w:pPr>
        <w:tabs>
          <w:tab w:val="left" w:pos="6277"/>
        </w:tabs>
        <w:rPr>
          <w:rFonts w:hint="eastAsia" w:ascii="黑体" w:hAnsi="黑体" w:eastAsia="黑体"/>
          <w:b/>
          <w:sz w:val="28"/>
        </w:rPr>
      </w:pPr>
      <w:r>
        <w:rPr>
          <w:rFonts w:hint="eastAsia" w:ascii="黑体" w:hAnsi="黑体" w:eastAsia="黑体"/>
          <w:b/>
          <w:sz w:val="28"/>
        </w:rPr>
        <w:t>【网络链接】：http://www.legaldaily.com.cn/index/content/2022-08/19/content_8771476.htm</w:t>
      </w:r>
    </w:p>
    <w:p>
      <w:pPr>
        <w:tabs>
          <w:tab w:val="left" w:pos="6277"/>
        </w:tabs>
        <w:rPr>
          <w:rFonts w:hint="default" w:ascii="宋体" w:hAnsi="宋体" w:eastAsia="宋体"/>
          <w:sz w:val="28"/>
          <w:lang w:val="en-US" w:eastAsia="zh-CN"/>
        </w:rPr>
      </w:pPr>
      <w:r>
        <w:rPr>
          <w:rFonts w:hint="eastAsia" w:ascii="黑体" w:hAnsi="黑体" w:eastAsia="黑体"/>
          <w:b/>
          <w:sz w:val="28"/>
        </w:rPr>
        <w:t>【上传人】：</w:t>
      </w:r>
      <w:r>
        <w:rPr>
          <w:rFonts w:hint="eastAsia" w:ascii="宋体" w:hAnsi="宋体" w:eastAsia="宋体"/>
          <w:sz w:val="28"/>
          <w:lang w:val="en-US" w:eastAsia="zh-Hans"/>
        </w:rPr>
        <w:t>金辩</w:t>
      </w:r>
      <w:r>
        <w:rPr>
          <w:rFonts w:hint="eastAsia" w:ascii="宋体" w:hAnsi="宋体" w:eastAsia="宋体"/>
          <w:sz w:val="28"/>
          <w:lang w:val="en-US" w:eastAsia="zh-CN"/>
        </w:rPr>
        <w:t>委</w:t>
      </w:r>
    </w:p>
    <w:p>
      <w:pPr>
        <w:rPr>
          <w:rFonts w:ascii="宋体" w:hAnsi="宋体" w:eastAsia="宋体"/>
          <w:sz w:val="28"/>
        </w:rPr>
      </w:pPr>
    </w:p>
    <w:p>
      <w:pPr>
        <w:rPr>
          <w:rFonts w:ascii="黑体" w:hAnsi="黑体" w:eastAsia="黑体"/>
          <w:b/>
          <w:sz w:val="28"/>
        </w:rPr>
      </w:pPr>
      <w:r>
        <w:rPr>
          <w:rFonts w:hint="eastAsia" w:ascii="黑体" w:hAnsi="黑体" w:eastAsia="黑体"/>
          <w:b/>
          <w:sz w:val="28"/>
        </w:rPr>
        <w:t>【</w:t>
      </w:r>
      <w:r>
        <w:rPr>
          <w:rFonts w:hint="eastAsia" w:ascii="黑体" w:hAnsi="黑体" w:eastAsia="黑体"/>
          <w:b/>
          <w:sz w:val="28"/>
          <w:lang w:val="en-US" w:eastAsia="zh-CN"/>
        </w:rPr>
        <w:t>网络资源</w:t>
      </w:r>
      <w:r>
        <w:rPr>
          <w:rFonts w:hint="eastAsia" w:ascii="黑体" w:hAnsi="黑体" w:eastAsia="黑体"/>
          <w:b/>
          <w:sz w:val="28"/>
        </w:rPr>
        <w:t>内容】：</w:t>
      </w:r>
    </w:p>
    <w:p>
      <w:pPr>
        <w:numPr>
          <w:ilvl w:val="0"/>
          <w:numId w:val="0"/>
        </w:numPr>
        <w:shd w:val="clear" w:color="auto" w:fill="FFFFFF"/>
        <w:spacing w:line="540" w:lineRule="atLeast"/>
        <w:rPr>
          <w:rFonts w:hint="eastAsia"/>
          <w:sz w:val="20"/>
          <w:szCs w:val="20"/>
          <w:lang w:val="en-US" w:eastAsia="zh-Hans"/>
        </w:rPr>
      </w:pPr>
      <w:r>
        <w:rPr>
          <w:rFonts w:hint="default" w:ascii="黑体" w:hAnsi="黑体" w:eastAsia="黑体"/>
          <w:b/>
          <w:sz w:val="28"/>
          <w:lang w:val="en-US" w:eastAsia="zh-CN"/>
        </w:rPr>
        <w:t>以刑事制裁手段依法惩治危害金融安全犯罪</w:t>
      </w:r>
    </w:p>
    <w:p>
      <w:pPr>
        <w:numPr>
          <w:ilvl w:val="0"/>
          <w:numId w:val="0"/>
        </w:numPr>
        <w:shd w:val="clear" w:color="auto" w:fill="FFFFFF"/>
        <w:spacing w:line="540" w:lineRule="atLeast"/>
        <w:rPr>
          <w:rFonts w:hint="eastAsia"/>
          <w:sz w:val="20"/>
          <w:szCs w:val="20"/>
          <w:lang w:val="en-US" w:eastAsia="zh-Hans"/>
        </w:rPr>
      </w:pPr>
      <w:r>
        <w:rPr>
          <w:rFonts w:hint="eastAsia"/>
          <w:sz w:val="20"/>
          <w:szCs w:val="20"/>
          <w:lang w:val="en-US" w:eastAsia="zh-Hans"/>
        </w:rPr>
        <w:t>中国人民大学教授、博士生导师 时延安</w:t>
      </w:r>
    </w:p>
    <w:p>
      <w:pPr>
        <w:numPr>
          <w:ilvl w:val="0"/>
          <w:numId w:val="0"/>
        </w:numPr>
        <w:shd w:val="clear" w:color="auto" w:fill="FFFFFF"/>
        <w:spacing w:line="540" w:lineRule="atLeast"/>
        <w:rPr>
          <w:rFonts w:hint="eastAsia"/>
          <w:sz w:val="20"/>
          <w:szCs w:val="20"/>
          <w:lang w:val="en-US" w:eastAsia="zh-Hans"/>
        </w:rPr>
      </w:pPr>
    </w:p>
    <w:p>
      <w:pPr>
        <w:numPr>
          <w:ilvl w:val="0"/>
          <w:numId w:val="0"/>
        </w:numPr>
        <w:shd w:val="clear" w:color="auto" w:fill="FFFFFF"/>
        <w:spacing w:line="540" w:lineRule="atLeast"/>
        <w:rPr>
          <w:rFonts w:hint="eastAsia"/>
          <w:sz w:val="20"/>
          <w:szCs w:val="20"/>
          <w:lang w:val="en-US" w:eastAsia="zh-Hans"/>
        </w:rPr>
      </w:pPr>
      <w:r>
        <w:rPr>
          <w:rFonts w:hint="eastAsia"/>
          <w:sz w:val="20"/>
          <w:szCs w:val="20"/>
          <w:lang w:val="en-US" w:eastAsia="zh-Hans"/>
        </w:rPr>
        <w:t>金融安全是经济安全的基石，也是国家安全的重要组成部分。破坏金融安全的行为，不仅违反了国家对金融的管理秩序，会直接侵犯到投资者的利益，也是影响社会稳定的重要不利因素。明天控股有限公司（以下简称“明天控股”）及其实际控制人肖建华实施非法吸收公众存款等罪案，就是严重破坏金融安全、侵犯投资者利益的重大案件，涉案资金数额巨大，形成了一个不可忽视的重大金融风险，社会危害极为严重。</w:t>
      </w:r>
    </w:p>
    <w:p>
      <w:pPr>
        <w:numPr>
          <w:ilvl w:val="0"/>
          <w:numId w:val="0"/>
        </w:numPr>
        <w:shd w:val="clear" w:color="auto" w:fill="FFFFFF"/>
        <w:spacing w:line="540" w:lineRule="atLeast"/>
        <w:rPr>
          <w:rFonts w:hint="eastAsia"/>
          <w:sz w:val="20"/>
          <w:szCs w:val="20"/>
          <w:lang w:val="en-US" w:eastAsia="zh-Hans"/>
        </w:rPr>
      </w:pPr>
    </w:p>
    <w:p>
      <w:pPr>
        <w:numPr>
          <w:ilvl w:val="0"/>
          <w:numId w:val="0"/>
        </w:numPr>
        <w:shd w:val="clear" w:color="auto" w:fill="FFFFFF"/>
        <w:spacing w:line="540" w:lineRule="atLeast"/>
        <w:rPr>
          <w:rFonts w:hint="eastAsia"/>
          <w:sz w:val="20"/>
          <w:szCs w:val="20"/>
          <w:lang w:val="en-US" w:eastAsia="zh-Hans"/>
        </w:rPr>
      </w:pPr>
      <w:r>
        <w:rPr>
          <w:rFonts w:hint="eastAsia"/>
          <w:sz w:val="20"/>
          <w:szCs w:val="20"/>
          <w:lang w:val="en-US" w:eastAsia="zh-Hans"/>
        </w:rPr>
        <w:t>从案件事实看，明天控股及其实际控制人肖建华，采用“隐形加分散”的规避手段，大量设立无实际经营的载体公司，通过分散持股、层层控股、隐名控股多家金融机构和互联网金融平台，进而操控这些金融机构违规发售理财产品等非法吸收公众资金，并利用相同手段操控商业银行违背受托义务擅自运用客户资金及其他委托的财产，操控保险公司违反国家规定运用资金。相应地，其行为分别构成非法吸收公众存款罪、背信运用受托财产罪、违法运用资金罪。此外，明天控股及肖建华为谋取不正当利益向他人行贿数亿元。明天控股及肖建华从事的金融犯罪活动比较复杂，且带有很强的迷惑性，其控制各类金融机构的方式也比较隐蔽，不过透过现象看本质，其操控行为最终是为了谋取巨额不正当利益。</w:t>
      </w:r>
    </w:p>
    <w:p>
      <w:pPr>
        <w:numPr>
          <w:ilvl w:val="0"/>
          <w:numId w:val="0"/>
        </w:numPr>
        <w:shd w:val="clear" w:color="auto" w:fill="FFFFFF"/>
        <w:spacing w:line="540" w:lineRule="atLeast"/>
        <w:rPr>
          <w:rFonts w:hint="eastAsia"/>
          <w:sz w:val="20"/>
          <w:szCs w:val="20"/>
          <w:lang w:val="en-US" w:eastAsia="zh-Hans"/>
        </w:rPr>
      </w:pPr>
    </w:p>
    <w:p>
      <w:pPr>
        <w:numPr>
          <w:ilvl w:val="0"/>
          <w:numId w:val="0"/>
        </w:numPr>
        <w:shd w:val="clear" w:color="auto" w:fill="FFFFFF"/>
        <w:spacing w:line="540" w:lineRule="atLeast"/>
        <w:rPr>
          <w:rFonts w:hint="eastAsia"/>
          <w:sz w:val="20"/>
          <w:szCs w:val="20"/>
          <w:lang w:val="en-US" w:eastAsia="zh-Hans"/>
        </w:rPr>
      </w:pPr>
      <w:r>
        <w:rPr>
          <w:rFonts w:hint="eastAsia"/>
          <w:sz w:val="20"/>
          <w:szCs w:val="20"/>
          <w:lang w:val="en-US" w:eastAsia="zh-Hans"/>
        </w:rPr>
        <w:t>明天控股及肖建华实施的犯罪行为类型与其操控的金融机构及业务类型相关，相应地涉及三种不同类型的金融犯罪。</w:t>
      </w:r>
    </w:p>
    <w:p>
      <w:pPr>
        <w:numPr>
          <w:ilvl w:val="0"/>
          <w:numId w:val="0"/>
        </w:numPr>
        <w:shd w:val="clear" w:color="auto" w:fill="FFFFFF"/>
        <w:spacing w:line="540" w:lineRule="atLeast"/>
        <w:rPr>
          <w:rFonts w:hint="eastAsia"/>
          <w:sz w:val="20"/>
          <w:szCs w:val="20"/>
          <w:lang w:val="en-US" w:eastAsia="zh-Hans"/>
        </w:rPr>
      </w:pPr>
    </w:p>
    <w:p>
      <w:pPr>
        <w:numPr>
          <w:ilvl w:val="0"/>
          <w:numId w:val="0"/>
        </w:numPr>
        <w:shd w:val="clear" w:color="auto" w:fill="FFFFFF"/>
        <w:spacing w:line="540" w:lineRule="atLeast"/>
        <w:rPr>
          <w:rFonts w:hint="eastAsia"/>
          <w:sz w:val="20"/>
          <w:szCs w:val="20"/>
          <w:lang w:val="en-US" w:eastAsia="zh-Hans"/>
        </w:rPr>
      </w:pPr>
      <w:r>
        <w:rPr>
          <w:rFonts w:hint="eastAsia"/>
          <w:sz w:val="20"/>
          <w:szCs w:val="20"/>
          <w:lang w:val="en-US" w:eastAsia="zh-Hans"/>
        </w:rPr>
        <w:t>一是，通过控制金融机构以向社会不特定公众销售理财产品的方式非法吸收资金。这类行为已经构成非法吸收公众存款罪（刑法第176条）。该罪具有非法性、公开性、不特定性等特征。就本案而言，明天控股及肖建华所控制的公司都是具有从事金融活动资格的机构，因而判断是否具有非法性是认定构成本罪的关键。《最高人民法院关于审理非法集资刑事案件具体应用法律若干问题的解释》第1条对“非法性”的规定是，“未经有关部门依法批准或者借用合法经营的形式吸收资金”。根据这一规定，即便是依法成立的金融机构也可能出现违反法律、法规等规定利用其地位与条件实施非法吸收资金的情况。就本案而言，明天控股及肖建华控制金融机构进行非法集资，也是利用这些金融机构的合法身份进行，但其违反相关法律法规的规定。例如，明天控股及肖建华指令保险公司违反原保监会相关通知和保险法的规定，超出发售比例和销售规模，突破许可的销售期限和利率发售投资型保险产品，这种情形即实质性地违反了相应的行政规制；再如，明天控股以无实际经营业务的载体公司分别作为融资和担保主体，并制作虚假的财务报表，指令信托投资公司包装成信托产品向社会公众募集资金，这种行为也实质性地违反了相关法律法规规定，具有非法性。正是由于明天控股及肖建华实施的行为具有非法性，而募集资金用途不当，给投资者造成了巨大的投资风险，最终导致了严重的危害后果。</w:t>
      </w:r>
    </w:p>
    <w:p>
      <w:pPr>
        <w:numPr>
          <w:ilvl w:val="0"/>
          <w:numId w:val="0"/>
        </w:numPr>
        <w:shd w:val="clear" w:color="auto" w:fill="FFFFFF"/>
        <w:spacing w:line="540" w:lineRule="atLeast"/>
        <w:rPr>
          <w:rFonts w:hint="eastAsia"/>
          <w:sz w:val="20"/>
          <w:szCs w:val="20"/>
          <w:lang w:val="en-US" w:eastAsia="zh-Hans"/>
        </w:rPr>
      </w:pPr>
    </w:p>
    <w:p>
      <w:pPr>
        <w:numPr>
          <w:ilvl w:val="0"/>
          <w:numId w:val="0"/>
        </w:numPr>
        <w:shd w:val="clear" w:color="auto" w:fill="FFFFFF"/>
        <w:spacing w:line="540" w:lineRule="atLeast"/>
        <w:rPr>
          <w:rFonts w:hint="eastAsia"/>
          <w:sz w:val="20"/>
          <w:szCs w:val="20"/>
          <w:lang w:val="en-US" w:eastAsia="zh-Hans"/>
        </w:rPr>
      </w:pPr>
      <w:r>
        <w:rPr>
          <w:rFonts w:hint="eastAsia"/>
          <w:sz w:val="20"/>
          <w:szCs w:val="20"/>
          <w:lang w:val="en-US" w:eastAsia="zh-Hans"/>
        </w:rPr>
        <w:t>二是，通过控制银行将其客户资金和受托财产转移至明天控股的载体公司账户，进而由明天控股统一调配使用。该行为构成背信运用受托财产罪（刑法第185条之一第1款）。该罪是指商业银行等金融机构，违背受托义务，擅自运用客户资金或者其他委托、信托的财产，情节严重的行为。该罪是典型的背信犯罪，而金融机构实施这类行为会对客户资金带来重大风险，严重破坏金融管理秩序。就本案而言，明天控股及肖建华控制并指令涉案银行对虚假融资项目不进行实质审核，通过多种方式将银行客户资金和受托财产转移至载体公司账户，进而由明天控股统一调配使用。由于行为主体将客户资金和受托财产转移占有，违背了银行与客户的约定用途，导致客户资金和财产的风险大为增加，最终造成大量本金无法归还的后果。</w:t>
      </w:r>
    </w:p>
    <w:p>
      <w:pPr>
        <w:numPr>
          <w:ilvl w:val="0"/>
          <w:numId w:val="0"/>
        </w:numPr>
        <w:shd w:val="clear" w:color="auto" w:fill="FFFFFF"/>
        <w:spacing w:line="540" w:lineRule="atLeast"/>
        <w:rPr>
          <w:rFonts w:hint="eastAsia"/>
          <w:sz w:val="20"/>
          <w:szCs w:val="20"/>
          <w:lang w:val="en-US" w:eastAsia="zh-Hans"/>
        </w:rPr>
      </w:pPr>
    </w:p>
    <w:p>
      <w:pPr>
        <w:numPr>
          <w:ilvl w:val="0"/>
          <w:numId w:val="0"/>
        </w:numPr>
        <w:shd w:val="clear" w:color="auto" w:fill="FFFFFF"/>
        <w:spacing w:line="540" w:lineRule="atLeast"/>
        <w:rPr>
          <w:rFonts w:hint="eastAsia"/>
          <w:sz w:val="20"/>
          <w:szCs w:val="20"/>
          <w:lang w:val="en-US" w:eastAsia="zh-Hans"/>
        </w:rPr>
      </w:pPr>
      <w:r>
        <w:rPr>
          <w:rFonts w:hint="eastAsia"/>
          <w:sz w:val="20"/>
          <w:szCs w:val="20"/>
          <w:lang w:val="en-US" w:eastAsia="zh-Hans"/>
        </w:rPr>
        <w:t>三是，通过控制保险公司将保险资金转移至载体公司，由明天控股统一调配使用。该行为构成违法运用资金罪（刑法第185条之一第2款）。该罪是指社会保障基金管理机构、住房公积金管理机构等公众资金管理机构，以及保险公司、保险资产管理公司、证券投资基金管理公司，违反国家规定运用资金的行为。该罪与背信运用受托财产罪规定在同一法条当中，但构成要件存在较大差异，最为重要的差别在于，后者的构成要件中包含了“违背受托义务”的规定，进言之，行为主体违背受托义务，是构成该罪的一个重要特征，而对前者而言，并不要求行为主体违反受托义务。就本案而言，明天控股及肖建华采取分散股权、隐名控股等手段，通过载体公司入股并实际控制多个保险公司，然后指令保险公司违反规定将保险资金转移至载体公司，并由明天控股统一调配使用。这种做法极大增加了保险公司的资金风险，也间接地影响到被保险人的财产利益。</w:t>
      </w:r>
    </w:p>
    <w:p>
      <w:pPr>
        <w:numPr>
          <w:ilvl w:val="0"/>
          <w:numId w:val="0"/>
        </w:numPr>
        <w:shd w:val="clear" w:color="auto" w:fill="FFFFFF"/>
        <w:spacing w:line="540" w:lineRule="atLeast"/>
        <w:rPr>
          <w:rFonts w:hint="eastAsia"/>
          <w:sz w:val="20"/>
          <w:szCs w:val="20"/>
          <w:lang w:val="en-US" w:eastAsia="zh-Hans"/>
        </w:rPr>
      </w:pPr>
    </w:p>
    <w:p>
      <w:pPr>
        <w:numPr>
          <w:ilvl w:val="0"/>
          <w:numId w:val="0"/>
        </w:numPr>
        <w:shd w:val="clear" w:color="auto" w:fill="FFFFFF"/>
        <w:spacing w:line="540" w:lineRule="atLeast"/>
        <w:rPr>
          <w:rFonts w:hint="eastAsia"/>
          <w:sz w:val="20"/>
          <w:szCs w:val="20"/>
          <w:lang w:val="en-US" w:eastAsia="zh-Hans"/>
        </w:rPr>
      </w:pPr>
      <w:r>
        <w:rPr>
          <w:rFonts w:hint="eastAsia"/>
          <w:sz w:val="20"/>
          <w:szCs w:val="20"/>
          <w:lang w:val="en-US" w:eastAsia="zh-Hans"/>
        </w:rPr>
        <w:t>本案中，明天控股及其实际控制人肖建华所采取聚集“天量”资金的方式非常隐蔽，总体而言，就是通过各类金融机构采取不同金融活动聚集资金，然后将这些资金进行控制支配。由于具体行为样式不同，相应地构成不同的犯罪，应当予以数罪并罚。全面剖析本案，厘清其行为方式，审视其危害后果，可以发现当前金融市场及金融活动存在的诸多问题。亡羊补牢，未为迟晚，金融机构的合规经营是完善金融机构管理的重要内容，只有通过强有力的方式促使金融机构健全内部制度和机制，从源头上解决风险问题，才能为金融安全提供坚实的基础。</w:t>
      </w:r>
    </w:p>
    <w:p>
      <w:pPr>
        <w:numPr>
          <w:ilvl w:val="0"/>
          <w:numId w:val="0"/>
        </w:numPr>
        <w:shd w:val="clear" w:color="auto" w:fill="FFFFFF"/>
        <w:spacing w:line="540" w:lineRule="atLeast"/>
        <w:rPr>
          <w:rFonts w:hint="eastAsia"/>
          <w:sz w:val="20"/>
          <w:szCs w:val="20"/>
          <w:lang w:val="en-US" w:eastAsia="zh-Hans"/>
        </w:rPr>
      </w:pPr>
    </w:p>
    <w:p>
      <w:pPr>
        <w:numPr>
          <w:ilvl w:val="0"/>
          <w:numId w:val="0"/>
        </w:numPr>
        <w:shd w:val="clear" w:color="auto" w:fill="FFFFFF"/>
        <w:spacing w:line="540" w:lineRule="atLeast"/>
        <w:rPr>
          <w:rFonts w:hint="eastAsia"/>
          <w:sz w:val="20"/>
          <w:szCs w:val="20"/>
          <w:lang w:val="en-US" w:eastAsia="zh-Hans"/>
        </w:rPr>
      </w:pPr>
      <w:r>
        <w:rPr>
          <w:rFonts w:hint="eastAsia"/>
          <w:sz w:val="20"/>
          <w:szCs w:val="20"/>
          <w:lang w:val="en-US" w:eastAsia="zh-Hans"/>
        </w:rPr>
        <w:t>责任编辑：乔小倩</w:t>
      </w:r>
    </w:p>
    <w:sectPr>
      <w:pgSz w:w="11900" w:h="16840"/>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汉仪书宋二KW"/>
    <w:panose1 w:val="00000000000000000000"/>
    <w:charset w:val="86"/>
    <w:family w:val="auto"/>
    <w:pitch w:val="default"/>
    <w:sig w:usb0="00000000" w:usb1="00000000" w:usb2="00000000" w:usb3="00000000" w:csb0="00000000" w:csb1="00000000"/>
  </w:font>
  <w:font w:name="DejaVu Sans">
    <w:altName w:val="苹方-简"/>
    <w:panose1 w:val="02020603050405020304"/>
    <w:charset w:val="00"/>
    <w:family w:val="roman"/>
    <w:pitch w:val="default"/>
    <w:sig w:usb0="20007A87" w:usb1="80000000" w:usb2="00000008" w:usb3="00000000" w:csb0="000001FF" w:csb1="00000000"/>
  </w:font>
  <w:font w:name="方正书宋_GBK">
    <w:panose1 w:val="02000000000000000000"/>
    <w:charset w:val="86"/>
    <w:family w:val="auto"/>
    <w:pitch w:val="default"/>
    <w:sig w:usb0="A00002BF" w:usb1="38CF7CFA" w:usb2="00082016" w:usb3="00000000" w:csb0="00040001" w:csb1="00000000"/>
  </w:font>
  <w:font w:name="方正黑体_GBK">
    <w:altName w:val="苹方-简"/>
    <w:panose1 w:val="02000000000000000000"/>
    <w:charset w:val="00"/>
    <w:family w:val="auto"/>
    <w:pitch w:val="default"/>
    <w:sig w:usb0="00000001" w:usb1="08000000" w:usb2="00000000" w:usb3="00000000" w:csb0="00040000" w:csb1="00000000"/>
  </w:font>
  <w:font w:name="Cambria">
    <w:altName w:val="苹方-简"/>
    <w:panose1 w:val="02040503050406030204"/>
    <w:charset w:val="00"/>
    <w:family w:val="roman"/>
    <w:pitch w:val="default"/>
    <w:sig w:usb0="00000000" w:usb1="00000000" w:usb2="00000000" w:usb3="00000000" w:csb0="0000019F" w:csb1="00000000"/>
  </w:font>
  <w:font w:name="Calibri">
    <w:altName w:val="Helvetica Neue"/>
    <w:panose1 w:val="020F0502020204030204"/>
    <w:charset w:val="00"/>
    <w:family w:val="swiss"/>
    <w:pitch w:val="default"/>
    <w:sig w:usb0="00000000" w:usb1="00000000" w:usb2="00000001" w:usb3="00000000" w:csb0="0000019F" w:csb1="00000000"/>
  </w:font>
  <w:font w:name="汉仪书宋二KW">
    <w:panose1 w:val="00020600040101010101"/>
    <w:charset w:val="86"/>
    <w:family w:val="auto"/>
    <w:pitch w:val="default"/>
    <w:sig w:usb0="A00002BF" w:usb1="18EF7CFA" w:usb2="00000016" w:usb3="00000000" w:csb0="00040000" w:csb1="00000000"/>
  </w:font>
  <w:font w:name="苹方-简">
    <w:panose1 w:val="020B0400000000000000"/>
    <w:charset w:val="86"/>
    <w:family w:val="auto"/>
    <w:pitch w:val="default"/>
    <w:sig w:usb0="A00002FF" w:usb1="7ACFFDFB" w:usb2="00000017" w:usb3="00000000" w:csb0="00040001" w:csb1="00000000"/>
  </w:font>
  <w:font w:name="Helvetica Neue">
    <w:panose1 w:val="02000503000000020004"/>
    <w:charset w:val="00"/>
    <w:family w:val="auto"/>
    <w:pitch w:val="default"/>
    <w:sig w:usb0="E50002FF" w:usb1="500079DB" w:usb2="00000010" w:usb3="00000000" w:csb0="00000000" w:csb1="00000000"/>
  </w:font>
  <w:font w:name="Calibri">
    <w:altName w:val="Helvetica Neue"/>
    <w:panose1 w:val="020F0502020204030204"/>
    <w:charset w:val="86"/>
    <w:family w:val="swiss"/>
    <w:pitch w:val="default"/>
    <w:sig w:usb0="00000000" w:usb1="00000000" w:usb2="00000001" w:usb3="00000000" w:csb0="0000019F" w:csb1="00000000"/>
  </w:font>
  <w:font w:name="Wingdings">
    <w:panose1 w:val="05000000000000000000"/>
    <w:charset w:val="00"/>
    <w:family w:val="auto"/>
    <w:pitch w:val="default"/>
    <w:sig w:usb0="00000000" w:usb1="00000000" w:usb2="00000000" w:usb3="00000000" w:csb0="80000000" w:csb1="00000000"/>
  </w:font>
  <w:font w:name="Courier New">
    <w:panose1 w:val="02070609020205090404"/>
    <w:charset w:val="00"/>
    <w:family w:val="auto"/>
    <w:pitch w:val="default"/>
    <w:sig w:usb0="E0000AFF" w:usb1="40007843" w:usb2="00000001" w:usb3="00000000" w:csb0="400001BF" w:csb1="DFF70000"/>
  </w:font>
  <w:font w:name="Symbol">
    <w:altName w:val="Kingsoft Sign"/>
    <w:panose1 w:val="02020503060805020204"/>
    <w:charset w:val="00"/>
    <w:family w:val="auto"/>
    <w:pitch w:val="default"/>
    <w:sig w:usb0="00000000" w:usb1="00000000" w:usb2="00000000" w:usb3="00000000" w:csb0="00000000" w:csb1="00000000"/>
  </w:font>
  <w:font w:name="Arial">
    <w:panose1 w:val="020B0604020202090204"/>
    <w:charset w:val="00"/>
    <w:family w:val="auto"/>
    <w:pitch w:val="default"/>
    <w:sig w:usb0="E0000AFF" w:usb1="00007843" w:usb2="00000001" w:usb3="00000000" w:csb0="400001BF" w:csb1="DFF70000"/>
  </w:font>
  <w:font w:name="宋体-简">
    <w:panose1 w:val="02010800040101010101"/>
    <w:charset w:val="86"/>
    <w:family w:val="auto"/>
    <w:pitch w:val="default"/>
    <w:sig w:usb0="00000001" w:usb1="080F0000" w:usb2="00000000" w:usb3="00000000" w:csb0="00040000" w:csb1="00000000"/>
  </w:font>
  <w:font w:name="Kingsoft Sign">
    <w:panose1 w:val="05050102010706020507"/>
    <w:charset w:val="00"/>
    <w:family w:val="auto"/>
    <w:pitch w:val="default"/>
    <w:sig w:usb0="00000000" w:usb1="10000000" w:usb2="00000000" w:usb3="00000000" w:csb0="00000001" w:csb1="00000000"/>
  </w:font>
  <w:font w:name="PingFangHK">
    <w:altName w:val="苹方-简"/>
    <w:panose1 w:val="00000000000000000000"/>
    <w:charset w:val="00"/>
    <w:family w:val="auto"/>
    <w:pitch w:val="default"/>
    <w:sig w:usb0="00000000" w:usb1="00000000" w:usb2="00000000" w:usb3="00000000" w:csb0="00000000" w:csb1="00000000"/>
  </w:font>
  <w:font w:name="Tahoma">
    <w:panose1 w:val="020B0804030504040204"/>
    <w:charset w:val="00"/>
    <w:family w:val="auto"/>
    <w:pitch w:val="default"/>
    <w:sig w:usb0="E1002AFF" w:usb1="C000605B" w:usb2="00000029" w:usb3="00000000" w:csb0="200101FF" w:csb1="20280000"/>
  </w:font>
  <w:font w:name="仿宋">
    <w:altName w:val="方正仿宋_GBK"/>
    <w:panose1 w:val="00000000000000000000"/>
    <w:charset w:val="00"/>
    <w:family w:val="auto"/>
    <w:pitch w:val="default"/>
    <w:sig w:usb0="00000000" w:usb1="00000000" w:usb2="00000000" w:usb3="00000000" w:csb0="00000000" w:csb1="00000000"/>
  </w:font>
  <w:font w:name="方正仿宋_GBK">
    <w:panose1 w:val="02000000000000000000"/>
    <w:charset w:val="86"/>
    <w:family w:val="auto"/>
    <w:pitch w:val="default"/>
    <w:sig w:usb0="A00002BF" w:usb1="38CF7CFA" w:usb2="00082016" w:usb3="00000000" w:csb0="00040001" w:csb1="00000000"/>
  </w:font>
  <w:font w:name="Microsoft Yahei">
    <w:altName w:val="苹方-简"/>
    <w:panose1 w:val="00000000000000000000"/>
    <w:charset w:val="00"/>
    <w:family w:val="auto"/>
    <w:pitch w:val="default"/>
    <w:sig w:usb0="00000000" w:usb1="00000000" w:usb2="00000000" w:usb3="00000000" w:csb0="00000000" w:csb1="00000000"/>
  </w:font>
  <w:font w:name="Calibri Light">
    <w:altName w:val="Helvetica Neue"/>
    <w:panose1 w:val="00000000000000000000"/>
    <w:charset w:val="00"/>
    <w:family w:val="auto"/>
    <w:pitch w:val="default"/>
    <w:sig w:usb0="00000000" w:usb1="00000000" w:usb2="00000000" w:usb3="00000000" w:csb0="00000000" w:csb1="00000000"/>
  </w:font>
  <w:font w:name="STFangsong">
    <w:panose1 w:val="02010600040101010101"/>
    <w:charset w:val="86"/>
    <w:family w:val="auto"/>
    <w:pitch w:val="default"/>
    <w:sig w:usb0="00000287" w:usb1="080F0000" w:usb2="00000000" w:usb3="00000000" w:csb0="0004009F" w:csb1="DFD70000"/>
  </w:font>
  <w:font w:name="微软雅黑">
    <w:altName w:val="汉仪旗黑"/>
    <w:panose1 w:val="020B0503020204020204"/>
    <w:charset w:val="00"/>
    <w:family w:val="swiss"/>
    <w:pitch w:val="default"/>
    <w:sig w:usb0="00000000" w:usb1="00000000" w:usb2="00000016" w:usb3="00000000" w:csb0="0004001F" w:csb1="00000000"/>
  </w:font>
  <w:font w:name="汉仪旗黑">
    <w:panose1 w:val="00020600040101010101"/>
    <w:charset w:val="86"/>
    <w:family w:val="auto"/>
    <w:pitch w:val="default"/>
    <w:sig w:usb0="A00002BF" w:usb1="1ACF7CFA" w:usb2="00000016" w:usb3="00000000" w:csb0="0004009F" w:csb1="DFD70000"/>
  </w:font>
  <w:font w:name="仿宋">
    <w:altName w:val="方正仿宋_GBK"/>
    <w:panose1 w:val="02010609060101010101"/>
    <w:charset w:val="86"/>
    <w:family w:val="modern"/>
    <w:pitch w:val="default"/>
    <w:sig w:usb0="00000000" w:usb1="00000000" w:usb2="00000016" w:usb3="00000000" w:csb0="00040001" w:csb1="00000000"/>
  </w:font>
  <w:font w:name="Heiti SC Light">
    <w:panose1 w:val="02000000000000000000"/>
    <w:charset w:val="80"/>
    <w:family w:val="auto"/>
    <w:pitch w:val="default"/>
    <w:sig w:usb0="8000002F" w:usb1="0800004A" w:usb2="00000000" w:usb3="00000000" w:csb0="203E0000" w:csb1="00000000"/>
  </w:font>
  <w:font w:name="Wingdings">
    <w:panose1 w:val="05000000000000000000"/>
    <w:charset w:val="02"/>
    <w:family w:val="auto"/>
    <w:pitch w:val="default"/>
    <w:sig w:usb0="00000000" w:usb1="00000000" w:usb2="00000000" w:usb3="00000000" w:csb0="80000000" w:csb1="00000000"/>
  </w:font>
  <w:font w:name="Arial">
    <w:panose1 w:val="020B0604020202090204"/>
    <w:charset w:val="01"/>
    <w:family w:val="swiss"/>
    <w:pitch w:val="default"/>
    <w:sig w:usb0="E0000AFF" w:usb1="00007843" w:usb2="00000001" w:usb3="00000000" w:csb0="400001BF" w:csb1="DFF70000"/>
  </w:font>
  <w:font w:name="黑体">
    <w:altName w:val="汉仪中黑KW"/>
    <w:panose1 w:val="02010609060101010101"/>
    <w:charset w:val="86"/>
    <w:family w:val="auto"/>
    <w:pitch w:val="default"/>
    <w:sig w:usb0="00000000" w:usb1="00000000" w:usb2="00000016" w:usb3="00000000" w:csb0="00040001" w:csb1="00000000"/>
  </w:font>
  <w:font w:name="Courier New">
    <w:panose1 w:val="02070609020205090404"/>
    <w:charset w:val="01"/>
    <w:family w:val="modern"/>
    <w:pitch w:val="default"/>
    <w:sig w:usb0="E0000AFF" w:usb1="40007843" w:usb2="00000001" w:usb3="00000000" w:csb0="400001BF" w:csb1="DFF70000"/>
  </w:font>
  <w:font w:name="Symbol">
    <w:altName w:val="Kingsoft Sign"/>
    <w:panose1 w:val="05050102010706020507"/>
    <w:charset w:val="02"/>
    <w:family w:val="roman"/>
    <w:pitch w:val="default"/>
    <w:sig w:usb0="00000000" w:usb1="00000000" w:usb2="00000000" w:usb3="00000000" w:csb0="80000000" w:csb1="00000000"/>
  </w:font>
  <w:font w:name="等线">
    <w:altName w:val="汉仪中等线KW"/>
    <w:panose1 w:val="02010600030101010101"/>
    <w:charset w:val="86"/>
    <w:family w:val="auto"/>
    <w:pitch w:val="default"/>
    <w:sig w:usb0="00000000" w:usb1="00000000" w:usb2="00000016" w:usb3="00000000" w:csb0="0004000F" w:csb1="00000000"/>
  </w:font>
  <w:font w:name="汉仪中黑KW">
    <w:panose1 w:val="00020600040101010101"/>
    <w:charset w:val="86"/>
    <w:family w:val="auto"/>
    <w:pitch w:val="default"/>
    <w:sig w:usb0="A00002BF" w:usb1="18EF7CFA" w:usb2="00000016" w:usb3="00000000" w:csb0="00040000" w:csb1="00000000"/>
  </w:font>
  <w:font w:name="DengXian">
    <w:altName w:val="汉仪中等线KW"/>
    <w:panose1 w:val="00000000000000000000"/>
    <w:charset w:val="00"/>
    <w:family w:val="auto"/>
    <w:pitch w:val="default"/>
    <w:sig w:usb0="00000000" w:usb1="00000000" w:usb2="00000000" w:usb3="00000000" w:csb0="00000000" w:csb1="00000000"/>
  </w:font>
  <w:font w:name="汉仪中等线KW">
    <w:panose1 w:val="01010104010101010101"/>
    <w:charset w:val="86"/>
    <w:family w:val="auto"/>
    <w:pitch w:val="default"/>
    <w:sig w:usb0="800002BF" w:usb1="004F7CFA" w:usb2="00000000" w:usb3="00000000" w:csb0="00040001" w:csb1="00000000"/>
  </w:font>
  <w:font w:name="-apple-system">
    <w:altName w:val="苹方-简"/>
    <w:panose1 w:val="00000000000000000000"/>
    <w:charset w:val="00"/>
    <w:family w:val="auto"/>
    <w:pitch w:val="default"/>
    <w:sig w:usb0="00000000" w:usb1="00000000" w:usb2="00000000" w:usb3="00000000" w:csb0="00000000" w:csb1="00000000"/>
  </w:font>
  <w:font w:name="Lantinghei SC">
    <w:panose1 w:val="02000000000000000000"/>
    <w:charset w:val="86"/>
    <w:family w:val="auto"/>
    <w:pitch w:val="default"/>
    <w:sig w:usb0="00000001" w:usb1="08000000" w:usb2="00000000" w:usb3="00000000" w:csb0="00040000" w:csb1="00000000"/>
  </w:font>
  <w:font w:name="PingFangSC-Regular">
    <w:panose1 w:val="020B0400000000000000"/>
    <w:charset w:val="86"/>
    <w:family w:val="auto"/>
    <w:pitch w:val="default"/>
    <w:sig w:usb0="A00002FF" w:usb1="7ACFFDFB" w:usb2="00000017" w:usb3="00000000" w:csb0="00040001" w:csb1="00000000"/>
  </w:font>
  <w:font w:name="PingFang SC">
    <w:panose1 w:val="020B0400000000000000"/>
    <w:charset w:val="86"/>
    <w:family w:val="auto"/>
    <w:pitch w:val="default"/>
    <w:sig w:usb0="A00002FF" w:usb1="7ACFFDFB" w:usb2="00000017" w:usb3="00000000" w:csb0="00040001" w:csb1="00000000"/>
  </w:font>
  <w:font w:name="PingFangSC-Medium">
    <w:panose1 w:val="020B0400000000000000"/>
    <w:charset w:val="86"/>
    <w:family w:val="auto"/>
    <w:pitch w:val="default"/>
    <w:sig w:usb0="A00002FF" w:usb1="7ACFFDFB" w:usb2="00000017" w:usb3="00000000" w:csb0="00040001" w:csb1="00000000"/>
  </w:font>
  <w:font w:name="Hiragino Sans GB">
    <w:panose1 w:val="020B0300000000000000"/>
    <w:charset w:val="86"/>
    <w:family w:val="auto"/>
    <w:pitch w:val="default"/>
    <w:sig w:usb0="A00002BF" w:usb1="1ACF7CFA" w:usb2="00000016" w:usb3="00000000" w:csb0="00060007" w:csb1="00000000"/>
  </w:font>
  <w:font w:name="新宋体">
    <w:altName w:val="方正书宋_GBK"/>
    <w:panose1 w:val="00000000000000000000"/>
    <w:charset w:val="00"/>
    <w:family w:val="auto"/>
    <w:pitch w:val="default"/>
    <w:sig w:usb0="00000000" w:usb1="00000000" w:usb2="00000000" w:usb3="00000000" w:csb0="00000000" w:csb1="00000000"/>
  </w:font>
  <w:font w:name="寰蒋闆呴粦">
    <w:altName w:val="苹方-简"/>
    <w:panose1 w:val="00000000000000000000"/>
    <w:charset w:val="00"/>
    <w:family w:val="auto"/>
    <w:pitch w:val="default"/>
    <w:sig w:usb0="00000000" w:usb1="00000000" w:usb2="00000000" w:usb3="00000000" w:csb0="00000000" w:csb1="00000000"/>
  </w:font>
  <w:font w:name="榛戜綋">
    <w:altName w:val="苹方-简"/>
    <w:panose1 w:val="00000000000000000000"/>
    <w:charset w:val="00"/>
    <w:family w:val="auto"/>
    <w:pitch w:val="default"/>
    <w:sig w:usb0="00000000" w:usb1="00000000" w:usb2="00000000" w:usb3="00000000" w:csb0="00000000" w:csb1="00000000"/>
  </w:font>
  <w:font w:name="儷宋 Pro">
    <w:panose1 w:val="02020300000000000000"/>
    <w:charset w:val="88"/>
    <w:family w:val="auto"/>
    <w:pitch w:val="default"/>
    <w:sig w:usb0="80000001" w:usb1="28091800" w:usb2="00000016" w:usb3="00000000" w:csb0="00100000" w:csb1="00000000"/>
  </w:font>
  <w:font w:name="楷体">
    <w:altName w:val="汉仪楷体KW"/>
    <w:panose1 w:val="00000000000000000000"/>
    <w:charset w:val="00"/>
    <w:family w:val="auto"/>
    <w:pitch w:val="default"/>
    <w:sig w:usb0="00000000" w:usb1="00000000" w:usb2="00000000" w:usb3="00000000" w:csb0="00000000" w:csb1="00000000"/>
  </w:font>
  <w:font w:name="汉仪楷体KW">
    <w:panose1 w:val="00020600040101010101"/>
    <w:charset w:val="86"/>
    <w:family w:val="auto"/>
    <w:pitch w:val="default"/>
    <w:sig w:usb0="A00002BF" w:usb1="18EF7CFA" w:usb2="00000016"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6"/>
  <w:bordersDoNotSurroundHeader w:val="0"/>
  <w:bordersDoNotSurroundFooter w:val="0"/>
  <w:documentProtection w:enforcement="0"/>
  <w:defaultTabStop w:val="420"/>
  <w:drawingGridVerticalSpacing w:val="200"/>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A14D0"/>
    <w:rsid w:val="000A2C5E"/>
    <w:rsid w:val="000F10AD"/>
    <w:rsid w:val="002D379A"/>
    <w:rsid w:val="003A5F6C"/>
    <w:rsid w:val="005A14D0"/>
    <w:rsid w:val="009D26F7"/>
    <w:rsid w:val="009F040E"/>
    <w:rsid w:val="009F57C9"/>
    <w:rsid w:val="00A51F2E"/>
    <w:rsid w:val="00FF15D2"/>
    <w:rsid w:val="07363CAF"/>
    <w:rsid w:val="07BFE6E6"/>
    <w:rsid w:val="0CCF1E21"/>
    <w:rsid w:val="188F10F8"/>
    <w:rsid w:val="223A1487"/>
    <w:rsid w:val="35EB8AA8"/>
    <w:rsid w:val="3873AE19"/>
    <w:rsid w:val="3D9DF316"/>
    <w:rsid w:val="476E4842"/>
    <w:rsid w:val="4E3F3A2D"/>
    <w:rsid w:val="4FD708F2"/>
    <w:rsid w:val="5B7C79B7"/>
    <w:rsid w:val="5DFFDC07"/>
    <w:rsid w:val="5FD5A11F"/>
    <w:rsid w:val="6A7DB4A2"/>
    <w:rsid w:val="6E7FC1A4"/>
    <w:rsid w:val="6F7825E3"/>
    <w:rsid w:val="6FA7167D"/>
    <w:rsid w:val="75DEE1D7"/>
    <w:rsid w:val="7DF7D91B"/>
    <w:rsid w:val="7DFFD483"/>
    <w:rsid w:val="7FB7E962"/>
    <w:rsid w:val="7FFF5804"/>
    <w:rsid w:val="B77F2553"/>
    <w:rsid w:val="B8FE2332"/>
    <w:rsid w:val="BD5DD6DE"/>
    <w:rsid w:val="BDBD75AC"/>
    <w:rsid w:val="BF974D34"/>
    <w:rsid w:val="BFDD432B"/>
    <w:rsid w:val="D7AB9577"/>
    <w:rsid w:val="D7FB5029"/>
    <w:rsid w:val="D7FF9247"/>
    <w:rsid w:val="DDD4DC3E"/>
    <w:rsid w:val="E3F1A6AA"/>
    <w:rsid w:val="E6AFF75F"/>
    <w:rsid w:val="EDEDB968"/>
    <w:rsid w:val="F1F79A4F"/>
    <w:rsid w:val="FC6F2884"/>
    <w:rsid w:val="FDAFB2EC"/>
    <w:rsid w:val="FDFCE331"/>
    <w:rsid w:val="FEFF92D1"/>
    <w:rsid w:val="FF8FF86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3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cs="Times New Roman" w:eastAsiaTheme="minorEastAsia"/>
      <w:sz w:val="24"/>
      <w:szCs w:val="24"/>
      <w:lang w:val="en-US" w:eastAsia="zh-CN" w:bidi="ar-SA"/>
    </w:rPr>
  </w:style>
  <w:style w:type="paragraph" w:styleId="2">
    <w:name w:val="heading 1"/>
    <w:basedOn w:val="1"/>
    <w:next w:val="1"/>
    <w:qFormat/>
    <w:uiPriority w:val="9"/>
    <w:pPr>
      <w:spacing w:before="0" w:beforeAutospacing="1" w:after="0" w:afterAutospacing="1"/>
      <w:jc w:val="left"/>
    </w:pPr>
    <w:rPr>
      <w:rFonts w:hint="eastAsia" w:ascii="宋体" w:hAnsi="宋体" w:eastAsia="宋体" w:cs="宋体"/>
      <w:b/>
      <w:kern w:val="44"/>
      <w:sz w:val="48"/>
      <w:szCs w:val="48"/>
      <w:lang w:val="en-US" w:eastAsia="zh-CN" w:bidi="ar"/>
    </w:rPr>
  </w:style>
  <w:style w:type="character" w:default="1" w:styleId="4">
    <w:name w:val="Default Paragraph Font"/>
    <w:unhideWhenUsed/>
    <w:qFormat/>
    <w:uiPriority w:val="1"/>
  </w:style>
  <w:style w:type="table" w:default="1" w:styleId="8">
    <w:name w:val="Normal Table"/>
    <w:unhideWhenUsed/>
    <w:qFormat/>
    <w:uiPriority w:val="99"/>
    <w:tblPr>
      <w:tblCellMar>
        <w:top w:w="0" w:type="dxa"/>
        <w:left w:w="108" w:type="dxa"/>
        <w:bottom w:w="0" w:type="dxa"/>
        <w:right w:w="108" w:type="dxa"/>
      </w:tblCellMar>
    </w:tblPr>
  </w:style>
  <w:style w:type="paragraph" w:styleId="3">
    <w:name w:val="Normal (Web)"/>
    <w:basedOn w:val="1"/>
    <w:unhideWhenUsed/>
    <w:qFormat/>
    <w:uiPriority w:val="99"/>
    <w:pPr>
      <w:spacing w:before="100" w:beforeAutospacing="1" w:after="100" w:afterAutospacing="1"/>
    </w:pPr>
  </w:style>
  <w:style w:type="character" w:styleId="5">
    <w:name w:val="Strong"/>
    <w:basedOn w:val="4"/>
    <w:qFormat/>
    <w:uiPriority w:val="22"/>
    <w:rPr>
      <w:b/>
      <w:bCs/>
    </w:rPr>
  </w:style>
  <w:style w:type="character" w:styleId="6">
    <w:name w:val="Emphasis"/>
    <w:basedOn w:val="4"/>
    <w:qFormat/>
    <w:uiPriority w:val="20"/>
    <w:rPr>
      <w:i/>
    </w:rPr>
  </w:style>
  <w:style w:type="character" w:styleId="7">
    <w:name w:val="Hyperlink"/>
    <w:basedOn w:val="4"/>
    <w:unhideWhenUsed/>
    <w:qFormat/>
    <w:uiPriority w:val="99"/>
    <w:rPr>
      <w:color w:val="0000FF"/>
      <w:u w:val="singl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DengXian Light"/>
        <a:ea typeface="黑体"/>
        <a:cs typeface=""/>
        <a:font script="Jpan" typeface="ＭＳ ゴシック"/>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DengXian"/>
        <a:ea typeface="宋体"/>
        <a:cs typeface=""/>
        <a:font script="Jpan" typeface="ＭＳ 明朝"/>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2</Pages>
  <Words>1329</Words>
  <Characters>1396</Characters>
  <Lines>24</Lines>
  <Paragraphs>6</Paragraphs>
  <ScaleCrop>false</ScaleCrop>
  <LinksUpToDate>false</LinksUpToDate>
  <CharactersWithSpaces>1396</CharactersWithSpaces>
  <Application>WPS Office_3.8.1.6116_F1E327BC-269C-435d-A152-05C5408002CA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2018-12-25T22:32:00Z</dcterms:created>
  <dc:creator>Microsoft Office 用户</dc:creator>
  <cp:lastModifiedBy>zhanghengye</cp:lastModifiedBy>
  <dcterms:modified xsi:type="dcterms:W3CDTF">2022-08-23T14:46:34Z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2052-3.8.1.6116</vt:lpwstr>
  </property>
  <property fmtid="{D5CDD505-2E9C-101B-9397-08002B2CF9AE}" pid="3" name="ICV">
    <vt:lpwstr>07367C6F7EFD4E8D93FF9528F63DE8B2</vt:lpwstr>
  </property>
</Properties>
</file>