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b w:val="0"/>
          <w:bCs w:val="0"/>
          <w:sz w:val="32"/>
          <w:szCs w:val="32"/>
        </w:rPr>
      </w:pPr>
      <w:r>
        <w:rPr>
          <w:rFonts w:hint="eastAsia" w:ascii="黑体" w:hAnsi="黑体" w:eastAsia="黑体"/>
          <w:b w:val="0"/>
          <w:bCs w:val="0"/>
          <w:sz w:val="32"/>
          <w:szCs w:val="32"/>
        </w:rPr>
        <w:t>“家庭财产与企业财产混同下的刑事法律风险”</w:t>
      </w:r>
    </w:p>
    <w:p>
      <w:pPr>
        <w:jc w:val="center"/>
        <w:rPr>
          <w:rFonts w:ascii="黑体" w:hAnsi="黑体" w:eastAsia="黑体"/>
          <w:b w:val="0"/>
          <w:bCs w:val="0"/>
          <w:sz w:val="32"/>
          <w:szCs w:val="32"/>
        </w:rPr>
      </w:pPr>
      <w:r>
        <w:rPr>
          <w:rFonts w:hint="eastAsia" w:ascii="黑体" w:hAnsi="黑体" w:eastAsia="黑体"/>
          <w:b w:val="0"/>
          <w:bCs w:val="0"/>
          <w:sz w:val="32"/>
          <w:szCs w:val="32"/>
          <w:lang w:val="en-US" w:eastAsia="zh-Hans"/>
        </w:rPr>
        <w:t>专题研讨会业务综述</w:t>
      </w:r>
    </w:p>
    <w:p>
      <w:pPr>
        <w:jc w:val="both"/>
        <w:rPr>
          <w:rFonts w:ascii="仿宋" w:hAnsi="仿宋" w:eastAsia="仿宋"/>
          <w:sz w:val="24"/>
          <w:szCs w:val="24"/>
        </w:rPr>
      </w:pPr>
    </w:p>
    <w:p>
      <w:pPr>
        <w:pStyle w:val="4"/>
        <w:shd w:val="clear" w:color="auto" w:fill="FFFFFF"/>
        <w:spacing w:before="225" w:beforeAutospacing="0" w:after="225" w:afterAutospacing="0" w:line="405" w:lineRule="atLeast"/>
        <w:ind w:firstLine="480"/>
        <w:jc w:val="both"/>
        <w:rPr>
          <w:rFonts w:hint="eastAsia" w:ascii="仿宋" w:hAnsi="仿宋" w:eastAsia="仿宋" w:cs="Arial"/>
          <w:color w:val="333333"/>
        </w:rPr>
      </w:pPr>
      <w:r>
        <w:rPr>
          <w:rFonts w:hint="eastAsia" w:ascii="仿宋" w:hAnsi="仿宋" w:eastAsia="仿宋" w:cs="Arial"/>
          <w:color w:val="333333"/>
        </w:rPr>
        <w:t>2022年9月24日上午，深圳市律师协会常见型犯罪辩护法律专业委员会（以下简称“常辩委”）通过线上和线下相结合的形式</w:t>
      </w:r>
      <w:r>
        <w:rPr>
          <w:rFonts w:hint="eastAsia" w:ascii="仿宋" w:hAnsi="仿宋" w:eastAsia="仿宋" w:cs="Arial"/>
          <w:color w:val="333333"/>
          <w:lang w:val="en-US" w:eastAsia="zh-Hans"/>
        </w:rPr>
        <w:t>举办</w:t>
      </w:r>
      <w:r>
        <w:rPr>
          <w:rFonts w:hint="eastAsia" w:ascii="仿宋" w:hAnsi="仿宋" w:eastAsia="仿宋" w:cs="Arial"/>
          <w:color w:val="333333"/>
        </w:rPr>
        <w:t>了“家庭财产与企业财产混同下的刑事法律风险”</w:t>
      </w:r>
      <w:r>
        <w:rPr>
          <w:rFonts w:hint="eastAsia" w:ascii="仿宋" w:hAnsi="仿宋" w:eastAsia="仿宋" w:cs="Arial"/>
          <w:color w:val="333333"/>
          <w:lang w:val="en-US" w:eastAsia="zh-Hans"/>
        </w:rPr>
        <w:t>专题研讨会</w:t>
      </w:r>
      <w:r>
        <w:rPr>
          <w:rFonts w:hint="eastAsia" w:ascii="仿宋" w:hAnsi="仿宋" w:eastAsia="仿宋" w:cs="Arial"/>
          <w:color w:val="333333"/>
        </w:rPr>
        <w:t>。北京市尚权（深圳）律师事务所（以下简称“尚权律师事务所”）和北京家理（深圳）律师事务所（以下简称“家理律师事务所”）共同承办了本次</w:t>
      </w:r>
      <w:r>
        <w:rPr>
          <w:rFonts w:hint="eastAsia" w:ascii="仿宋" w:hAnsi="仿宋" w:eastAsia="仿宋" w:cs="Arial"/>
          <w:color w:val="333333"/>
          <w:lang w:val="en-US" w:eastAsia="zh-Hans"/>
        </w:rPr>
        <w:t>研讨</w:t>
      </w:r>
      <w:r>
        <w:rPr>
          <w:rFonts w:hint="eastAsia" w:ascii="仿宋" w:hAnsi="仿宋" w:eastAsia="仿宋" w:cs="Arial"/>
          <w:color w:val="333333"/>
        </w:rPr>
        <w:t>活动。</w:t>
      </w:r>
    </w:p>
    <w:p>
      <w:pPr>
        <w:keepNext w:val="0"/>
        <w:keepLines w:val="0"/>
        <w:widowControl/>
        <w:suppressLineNumbers w:val="0"/>
        <w:ind w:firstLine="480" w:firstLineChars="200"/>
        <w:jc w:val="both"/>
        <w:rPr>
          <w:rFonts w:hint="default" w:ascii="仿宋" w:hAnsi="仿宋" w:eastAsia="仿宋" w:cs="宋体"/>
          <w:kern w:val="0"/>
          <w:sz w:val="24"/>
          <w:szCs w:val="24"/>
          <w:lang w:eastAsia="zh-CN" w:bidi="ar-SA"/>
        </w:rPr>
      </w:pPr>
      <w:r>
        <w:rPr>
          <w:rFonts w:hint="eastAsia" w:ascii="仿宋" w:hAnsi="仿宋" w:eastAsia="仿宋" w:cs="宋体"/>
          <w:kern w:val="0"/>
          <w:sz w:val="24"/>
          <w:szCs w:val="24"/>
          <w:lang w:val="en-US" w:eastAsia="zh-CN" w:bidi="ar-SA"/>
        </w:rPr>
        <w:t>本次研讨会由尚权律师事务所刘书硕律师主持</w:t>
      </w:r>
      <w:r>
        <w:rPr>
          <w:rFonts w:hint="eastAsia" w:ascii="仿宋" w:hAnsi="仿宋" w:eastAsia="仿宋" w:cs="宋体"/>
          <w:kern w:val="0"/>
          <w:sz w:val="24"/>
          <w:szCs w:val="24"/>
          <w:lang w:eastAsia="zh-CN" w:bidi="ar-SA"/>
        </w:rPr>
        <w:t>，</w:t>
      </w:r>
      <w:r>
        <w:rPr>
          <w:rFonts w:hint="eastAsia" w:ascii="仿宋" w:hAnsi="仿宋" w:eastAsia="仿宋" w:cs="宋体"/>
          <w:kern w:val="0"/>
          <w:sz w:val="24"/>
          <w:szCs w:val="24"/>
          <w:lang w:val="en-US" w:eastAsia="zh-CN" w:bidi="ar-SA"/>
        </w:rPr>
        <w:t>深圳大学法学院副教授周娅老师主讲，婚姻家事委主任李玮</w:t>
      </w:r>
      <w:r>
        <w:rPr>
          <w:rFonts w:hint="eastAsia" w:ascii="仿宋" w:hAnsi="仿宋" w:eastAsia="仿宋" w:cs="宋体"/>
          <w:kern w:val="0"/>
          <w:sz w:val="24"/>
          <w:szCs w:val="24"/>
          <w:lang w:val="en-US" w:eastAsia="zh-Hans" w:bidi="ar-SA"/>
        </w:rPr>
        <w:t>律师</w:t>
      </w:r>
      <w:r>
        <w:rPr>
          <w:rFonts w:hint="eastAsia" w:ascii="仿宋" w:hAnsi="仿宋" w:eastAsia="仿宋" w:cs="宋体"/>
          <w:kern w:val="0"/>
          <w:sz w:val="24"/>
          <w:szCs w:val="24"/>
          <w:lang w:val="en-US" w:eastAsia="zh-CN" w:bidi="ar-SA"/>
        </w:rPr>
        <w:t>，常辩委主任王平聚</w:t>
      </w:r>
      <w:r>
        <w:rPr>
          <w:rFonts w:hint="eastAsia" w:ascii="仿宋" w:hAnsi="仿宋" w:eastAsia="仿宋" w:cs="宋体"/>
          <w:kern w:val="0"/>
          <w:sz w:val="24"/>
          <w:szCs w:val="24"/>
          <w:lang w:val="en-US" w:eastAsia="zh-Hans" w:bidi="ar-SA"/>
        </w:rPr>
        <w:t>律师</w:t>
      </w:r>
      <w:r>
        <w:rPr>
          <w:rFonts w:hint="eastAsia" w:ascii="仿宋" w:hAnsi="仿宋" w:eastAsia="仿宋" w:cs="宋体"/>
          <w:kern w:val="0"/>
          <w:sz w:val="24"/>
          <w:szCs w:val="24"/>
          <w:lang w:val="en-US" w:eastAsia="zh-CN" w:bidi="ar-SA"/>
        </w:rPr>
        <w:t>，</w:t>
      </w:r>
      <w:r>
        <w:rPr>
          <w:rFonts w:hint="eastAsia" w:ascii="仿宋" w:hAnsi="仿宋" w:eastAsia="仿宋" w:cs="宋体"/>
          <w:kern w:val="0"/>
          <w:sz w:val="24"/>
          <w:szCs w:val="24"/>
          <w:lang w:val="en-US" w:eastAsia="zh-CN" w:bidi="ar-SA"/>
        </w:rPr>
        <w:fldChar w:fldCharType="begin"/>
      </w:r>
      <w:r>
        <w:rPr>
          <w:rFonts w:hint="eastAsia" w:ascii="仿宋" w:hAnsi="仿宋" w:eastAsia="仿宋" w:cs="宋体"/>
          <w:kern w:val="0"/>
          <w:sz w:val="24"/>
          <w:szCs w:val="24"/>
          <w:lang w:val="en-US" w:eastAsia="zh-CN" w:bidi="ar-SA"/>
        </w:rPr>
        <w:instrText xml:space="preserve"> HYPERLINK "http://www.szlawyers.com/wyh/specialty/jiazuwei" </w:instrText>
      </w:r>
      <w:r>
        <w:rPr>
          <w:rFonts w:hint="eastAsia" w:ascii="仿宋" w:hAnsi="仿宋" w:eastAsia="仿宋" w:cs="宋体"/>
          <w:kern w:val="0"/>
          <w:sz w:val="24"/>
          <w:szCs w:val="24"/>
          <w:lang w:val="en-US" w:eastAsia="zh-CN" w:bidi="ar-SA"/>
        </w:rPr>
        <w:fldChar w:fldCharType="separate"/>
      </w:r>
      <w:r>
        <w:rPr>
          <w:rFonts w:hint="default" w:ascii="仿宋" w:hAnsi="仿宋" w:eastAsia="仿宋" w:cs="宋体"/>
          <w:kern w:val="0"/>
          <w:sz w:val="24"/>
          <w:szCs w:val="24"/>
          <w:lang w:val="en-US" w:eastAsia="zh-CN" w:bidi="ar-SA"/>
        </w:rPr>
        <w:t>家族财富委</w:t>
      </w:r>
      <w:r>
        <w:rPr>
          <w:rFonts w:hint="default" w:ascii="仿宋" w:hAnsi="仿宋" w:eastAsia="仿宋" w:cs="宋体"/>
          <w:kern w:val="0"/>
          <w:sz w:val="24"/>
          <w:szCs w:val="24"/>
          <w:lang w:val="en-US" w:eastAsia="zh-CN" w:bidi="ar-SA"/>
        </w:rPr>
        <w:fldChar w:fldCharType="end"/>
      </w:r>
      <w:r>
        <w:rPr>
          <w:rFonts w:hint="eastAsia" w:ascii="仿宋" w:hAnsi="仿宋" w:eastAsia="仿宋" w:cs="宋体"/>
          <w:kern w:val="0"/>
          <w:sz w:val="24"/>
          <w:szCs w:val="24"/>
          <w:lang w:val="en-US" w:eastAsia="zh-Hans" w:bidi="ar-SA"/>
        </w:rPr>
        <w:t>副主任刘运娇律师</w:t>
      </w:r>
      <w:r>
        <w:rPr>
          <w:rFonts w:hint="default" w:ascii="仿宋" w:hAnsi="仿宋" w:eastAsia="仿宋" w:cs="宋体"/>
          <w:kern w:val="0"/>
          <w:sz w:val="24"/>
          <w:szCs w:val="24"/>
          <w:lang w:val="en-US" w:eastAsia="zh-Hans" w:bidi="ar-SA"/>
        </w:rPr>
        <w:t>，</w:t>
      </w:r>
      <w:r>
        <w:rPr>
          <w:rFonts w:hint="eastAsia" w:ascii="仿宋" w:hAnsi="仿宋" w:eastAsia="仿宋" w:cs="宋体"/>
          <w:kern w:val="0"/>
          <w:sz w:val="24"/>
          <w:szCs w:val="24"/>
          <w:lang w:val="en-US" w:eastAsia="zh-CN" w:bidi="ar-SA"/>
        </w:rPr>
        <w:t>常辩委副主任张宇鹏</w:t>
      </w:r>
      <w:r>
        <w:rPr>
          <w:rFonts w:hint="eastAsia" w:ascii="仿宋" w:hAnsi="仿宋" w:eastAsia="仿宋" w:cs="宋体"/>
          <w:kern w:val="0"/>
          <w:sz w:val="24"/>
          <w:szCs w:val="24"/>
          <w:lang w:val="en-US" w:eastAsia="zh-Hans" w:bidi="ar-SA"/>
        </w:rPr>
        <w:t>律师</w:t>
      </w:r>
      <w:r>
        <w:rPr>
          <w:rFonts w:hint="eastAsia" w:ascii="仿宋" w:hAnsi="仿宋" w:eastAsia="仿宋" w:cs="宋体"/>
          <w:kern w:val="0"/>
          <w:sz w:val="24"/>
          <w:szCs w:val="24"/>
          <w:lang w:val="en-US" w:eastAsia="zh-CN" w:bidi="ar-SA"/>
        </w:rPr>
        <w:t>，婚姻家事委</w:t>
      </w:r>
      <w:r>
        <w:rPr>
          <w:rFonts w:hint="eastAsia" w:ascii="仿宋" w:hAnsi="仿宋" w:eastAsia="仿宋" w:cs="宋体"/>
          <w:kern w:val="0"/>
          <w:sz w:val="24"/>
          <w:szCs w:val="24"/>
          <w:lang w:val="en-US" w:eastAsia="zh-Hans" w:bidi="ar-SA"/>
        </w:rPr>
        <w:t>委员</w:t>
      </w:r>
      <w:r>
        <w:rPr>
          <w:rFonts w:hint="eastAsia" w:ascii="仿宋" w:hAnsi="仿宋" w:eastAsia="仿宋" w:cs="宋体"/>
          <w:kern w:val="0"/>
          <w:sz w:val="24"/>
          <w:szCs w:val="24"/>
          <w:lang w:val="en-US" w:eastAsia="zh-CN" w:bidi="ar-SA"/>
        </w:rPr>
        <w:t>胡梦蝶</w:t>
      </w:r>
      <w:r>
        <w:rPr>
          <w:rFonts w:hint="eastAsia" w:ascii="仿宋" w:hAnsi="仿宋" w:eastAsia="仿宋" w:cs="宋体"/>
          <w:kern w:val="0"/>
          <w:sz w:val="24"/>
          <w:szCs w:val="24"/>
          <w:lang w:val="en-US" w:eastAsia="zh-Hans" w:bidi="ar-SA"/>
        </w:rPr>
        <w:t>律师</w:t>
      </w:r>
      <w:r>
        <w:rPr>
          <w:rFonts w:hint="eastAsia" w:ascii="仿宋" w:hAnsi="仿宋" w:eastAsia="仿宋" w:cs="宋体"/>
          <w:kern w:val="0"/>
          <w:sz w:val="24"/>
          <w:szCs w:val="24"/>
          <w:lang w:val="en-US" w:eastAsia="zh-CN" w:bidi="ar-SA"/>
        </w:rPr>
        <w:t>，北京市京师（深圳）律师事务所石晓敏律师，常辩委秘书长邵心语</w:t>
      </w:r>
      <w:r>
        <w:rPr>
          <w:rFonts w:hint="eastAsia" w:ascii="仿宋" w:hAnsi="仿宋" w:eastAsia="仿宋" w:cs="宋体"/>
          <w:kern w:val="0"/>
          <w:sz w:val="24"/>
          <w:szCs w:val="24"/>
          <w:lang w:val="en-US" w:eastAsia="zh-Hans" w:bidi="ar-SA"/>
        </w:rPr>
        <w:t>律师</w:t>
      </w:r>
      <w:r>
        <w:rPr>
          <w:rFonts w:hint="eastAsia" w:ascii="仿宋" w:hAnsi="仿宋" w:eastAsia="仿宋" w:cs="宋体"/>
          <w:kern w:val="0"/>
          <w:sz w:val="24"/>
          <w:szCs w:val="24"/>
          <w:lang w:val="en-US" w:eastAsia="zh-CN" w:bidi="ar-SA"/>
        </w:rPr>
        <w:t>作为与谈嘉宾对家庭财产与企业财产混同下的刑事法律风险进行了深入剖析和探讨</w:t>
      </w:r>
      <w:r>
        <w:rPr>
          <w:rFonts w:hint="default" w:ascii="仿宋" w:hAnsi="仿宋" w:eastAsia="仿宋" w:cs="宋体"/>
          <w:kern w:val="0"/>
          <w:sz w:val="24"/>
          <w:szCs w:val="24"/>
          <w:lang w:eastAsia="zh-CN" w:bidi="ar-SA"/>
        </w:rPr>
        <w:t>。</w:t>
      </w:r>
    </w:p>
    <w:p>
      <w:pPr>
        <w:widowControl/>
        <w:spacing w:before="100" w:beforeAutospacing="1" w:after="100" w:afterAutospacing="1" w:line="360" w:lineRule="auto"/>
        <w:ind w:firstLine="600" w:firstLineChars="250"/>
        <w:contextualSpacing/>
        <w:rPr>
          <w:rFonts w:hint="default" w:ascii="仿宋" w:hAnsi="仿宋" w:eastAsia="仿宋" w:cs="宋体"/>
          <w:kern w:val="0"/>
          <w:sz w:val="24"/>
          <w:szCs w:val="24"/>
          <w:lang w:val="en-US" w:eastAsia="zh-Hans" w:bidi="ar-SA"/>
        </w:rPr>
      </w:pPr>
      <w:r>
        <w:rPr>
          <w:rFonts w:hint="eastAsia" w:ascii="仿宋" w:hAnsi="仿宋" w:eastAsia="仿宋" w:cs="宋体"/>
          <w:kern w:val="0"/>
          <w:sz w:val="24"/>
          <w:szCs w:val="24"/>
          <w:lang w:val="en-US" w:eastAsia="zh-Hans" w:bidi="ar-SA"/>
        </w:rPr>
        <w:t>一</w:t>
      </w:r>
      <w:r>
        <w:rPr>
          <w:rFonts w:hint="default" w:ascii="仿宋" w:hAnsi="仿宋" w:eastAsia="仿宋" w:cs="宋体"/>
          <w:kern w:val="0"/>
          <w:sz w:val="24"/>
          <w:szCs w:val="24"/>
          <w:lang w:eastAsia="zh-Hans" w:bidi="ar-SA"/>
        </w:rPr>
        <w:t>、</w:t>
      </w:r>
      <w:r>
        <w:rPr>
          <w:rFonts w:hint="eastAsia" w:ascii="仿宋" w:hAnsi="仿宋" w:eastAsia="仿宋" w:cs="宋体"/>
          <w:kern w:val="0"/>
          <w:sz w:val="24"/>
          <w:szCs w:val="24"/>
          <w:lang w:val="en-US" w:eastAsia="zh-Hans" w:bidi="ar-SA"/>
        </w:rPr>
        <w:t>主讲环节</w:t>
      </w:r>
    </w:p>
    <w:p>
      <w:pPr>
        <w:widowControl/>
        <w:spacing w:before="100" w:beforeAutospacing="1" w:after="100" w:afterAutospacing="1" w:line="360" w:lineRule="auto"/>
        <w:ind w:firstLine="600" w:firstLineChars="250"/>
        <w:contextualSpacing/>
        <w:rPr>
          <w:rFonts w:hint="eastAsia" w:ascii="仿宋" w:hAnsi="仿宋" w:eastAsia="仿宋" w:cs="宋体"/>
          <w:kern w:val="0"/>
          <w:sz w:val="24"/>
          <w:szCs w:val="24"/>
          <w:lang w:eastAsia="zh-Hans" w:bidi="ar-SA"/>
        </w:rPr>
      </w:pPr>
      <w:r>
        <w:rPr>
          <w:rFonts w:hint="default" w:ascii="仿宋" w:hAnsi="仿宋" w:eastAsia="仿宋" w:cs="宋体"/>
          <w:kern w:val="0"/>
          <w:sz w:val="24"/>
          <w:szCs w:val="24"/>
          <w:lang w:eastAsia="zh-Hans" w:bidi="ar-SA"/>
        </w:rPr>
        <w:t>（</w:t>
      </w:r>
      <w:r>
        <w:rPr>
          <w:rFonts w:hint="eastAsia" w:ascii="仿宋" w:hAnsi="仿宋" w:eastAsia="仿宋" w:cs="宋体"/>
          <w:kern w:val="0"/>
          <w:sz w:val="24"/>
          <w:szCs w:val="24"/>
          <w:lang w:val="en-US" w:eastAsia="zh-Hans" w:bidi="ar-SA"/>
        </w:rPr>
        <w:t>一</w:t>
      </w:r>
      <w:r>
        <w:rPr>
          <w:rFonts w:hint="default" w:ascii="仿宋" w:hAnsi="仿宋" w:eastAsia="仿宋" w:cs="宋体"/>
          <w:kern w:val="0"/>
          <w:sz w:val="24"/>
          <w:szCs w:val="24"/>
          <w:lang w:eastAsia="zh-Hans" w:bidi="ar-SA"/>
        </w:rPr>
        <w:t>）</w:t>
      </w:r>
      <w:r>
        <w:rPr>
          <w:rFonts w:hint="eastAsia" w:ascii="仿宋" w:hAnsi="仿宋" w:eastAsia="仿宋" w:cs="宋体"/>
          <w:kern w:val="0"/>
          <w:sz w:val="24"/>
          <w:szCs w:val="24"/>
          <w:lang w:val="en-US" w:eastAsia="zh-Hans" w:bidi="ar-SA"/>
        </w:rPr>
        <w:t>引入</w:t>
      </w:r>
    </w:p>
    <w:p>
      <w:pPr>
        <w:widowControl/>
        <w:spacing w:before="100" w:beforeAutospacing="1" w:after="100" w:afterAutospacing="1" w:line="360" w:lineRule="auto"/>
        <w:ind w:firstLine="600" w:firstLineChars="250"/>
        <w:contextualSpacing/>
        <w:rPr>
          <w:rFonts w:hint="eastAsia" w:ascii="仿宋" w:hAnsi="仿宋" w:eastAsia="仿宋" w:cs="宋体"/>
          <w:kern w:val="0"/>
          <w:sz w:val="24"/>
          <w:szCs w:val="24"/>
          <w:lang w:val="en-US" w:eastAsia="zh-Hans" w:bidi="ar-SA"/>
        </w:rPr>
      </w:pPr>
      <w:r>
        <w:rPr>
          <w:rFonts w:hint="eastAsia" w:ascii="仿宋" w:hAnsi="仿宋" w:eastAsia="仿宋" w:cs="宋体"/>
          <w:kern w:val="0"/>
          <w:sz w:val="24"/>
          <w:szCs w:val="24"/>
          <w:lang w:val="en-US" w:eastAsia="zh-Hans" w:bidi="ar-SA"/>
        </w:rPr>
        <w:t>周娅副教授首先以职务侵占罪为切入点，从法律法规解读入手，以北京师范大学中国企业家预防犯罪研究中心《企业家刑事风险分析报告（2020）》的统计数据为基础，从文义解释、实质解释和形式解释三个方面系统阐述了职务侵占罪。同时，针对贪污罪和职务侵占罪、受贿罪和非国家工作人员受贿罪、挪用公款罪和挪用资金罪的相关规定进行了比对梳理。</w:t>
      </w:r>
    </w:p>
    <w:p>
      <w:pPr>
        <w:widowControl/>
        <w:spacing w:before="100" w:beforeAutospacing="1" w:after="100" w:afterAutospacing="1" w:line="360" w:lineRule="auto"/>
        <w:ind w:firstLine="600" w:firstLineChars="250"/>
        <w:contextualSpacing/>
        <w:rPr>
          <w:rFonts w:hint="eastAsia" w:ascii="仿宋" w:hAnsi="仿宋" w:eastAsia="仿宋" w:cs="宋体"/>
          <w:kern w:val="0"/>
          <w:sz w:val="24"/>
          <w:szCs w:val="24"/>
          <w:lang w:eastAsia="zh-Hans" w:bidi="ar-SA"/>
        </w:rPr>
      </w:pPr>
      <w:r>
        <w:rPr>
          <w:rFonts w:hint="eastAsia" w:ascii="仿宋" w:hAnsi="仿宋" w:eastAsia="仿宋" w:cs="宋体"/>
          <w:kern w:val="0"/>
          <w:sz w:val="24"/>
          <w:szCs w:val="24"/>
          <w:lang w:eastAsia="zh-Hans" w:bidi="ar-SA"/>
        </w:rPr>
        <w:t>（</w:t>
      </w:r>
      <w:r>
        <w:rPr>
          <w:rFonts w:hint="eastAsia" w:ascii="仿宋" w:hAnsi="仿宋" w:eastAsia="仿宋" w:cs="宋体"/>
          <w:kern w:val="0"/>
          <w:sz w:val="24"/>
          <w:szCs w:val="24"/>
          <w:lang w:val="en-US" w:eastAsia="zh-Hans" w:bidi="ar-SA"/>
        </w:rPr>
        <w:t>二</w:t>
      </w:r>
      <w:r>
        <w:rPr>
          <w:rFonts w:hint="eastAsia" w:ascii="仿宋" w:hAnsi="仿宋" w:eastAsia="仿宋" w:cs="宋体"/>
          <w:kern w:val="0"/>
          <w:sz w:val="24"/>
          <w:szCs w:val="24"/>
          <w:lang w:eastAsia="zh-Hans" w:bidi="ar-SA"/>
        </w:rPr>
        <w:t>）</w:t>
      </w:r>
      <w:r>
        <w:rPr>
          <w:rFonts w:hint="eastAsia" w:ascii="仿宋" w:hAnsi="仿宋" w:eastAsia="仿宋" w:cs="宋体"/>
          <w:kern w:val="0"/>
          <w:sz w:val="24"/>
          <w:szCs w:val="24"/>
          <w:lang w:val="en-US" w:eastAsia="zh-Hans" w:bidi="ar-SA"/>
        </w:rPr>
        <w:t>对</w:t>
      </w:r>
      <w:r>
        <w:rPr>
          <w:rFonts w:hint="eastAsia" w:ascii="仿宋" w:hAnsi="仿宋" w:eastAsia="仿宋" w:cs="宋体"/>
          <w:kern w:val="0"/>
          <w:sz w:val="24"/>
          <w:szCs w:val="24"/>
          <w:lang w:eastAsia="zh-Hans" w:bidi="ar-SA"/>
        </w:rPr>
        <w:t>“利用职务上的便利”</w:t>
      </w:r>
      <w:r>
        <w:rPr>
          <w:rFonts w:hint="eastAsia" w:ascii="仿宋" w:hAnsi="仿宋" w:eastAsia="仿宋" w:cs="宋体"/>
          <w:kern w:val="0"/>
          <w:sz w:val="24"/>
          <w:szCs w:val="24"/>
          <w:lang w:val="en-US" w:eastAsia="zh-Hans" w:bidi="ar-SA"/>
        </w:rPr>
        <w:t>的理解</w:t>
      </w:r>
    </w:p>
    <w:p>
      <w:pPr>
        <w:widowControl/>
        <w:spacing w:before="100" w:beforeAutospacing="1" w:after="100" w:afterAutospacing="1" w:line="360" w:lineRule="auto"/>
        <w:ind w:firstLine="600" w:firstLineChars="250"/>
        <w:contextualSpacing/>
        <w:rPr>
          <w:rFonts w:hint="eastAsia" w:ascii="仿宋" w:hAnsi="仿宋" w:eastAsia="仿宋" w:cs="宋体"/>
          <w:kern w:val="0"/>
          <w:sz w:val="24"/>
          <w:szCs w:val="24"/>
          <w:lang w:eastAsia="zh-CN" w:bidi="ar-SA"/>
        </w:rPr>
      </w:pPr>
      <w:r>
        <w:rPr>
          <w:rFonts w:hint="eastAsia" w:ascii="仿宋" w:hAnsi="仿宋" w:eastAsia="仿宋" w:cs="宋体"/>
          <w:kern w:val="0"/>
          <w:sz w:val="24"/>
          <w:szCs w:val="24"/>
          <w:lang w:val="en-US" w:eastAsia="zh-Hans" w:bidi="ar-SA"/>
        </w:rPr>
        <w:t>根据</w:t>
      </w:r>
      <w:r>
        <w:rPr>
          <w:rFonts w:hint="default" w:ascii="仿宋" w:hAnsi="仿宋" w:eastAsia="仿宋" w:cs="宋体"/>
          <w:kern w:val="0"/>
          <w:sz w:val="24"/>
          <w:szCs w:val="24"/>
          <w:lang w:eastAsia="zh-Hans" w:bidi="ar-SA"/>
        </w:rPr>
        <w:t>《</w:t>
      </w:r>
      <w:r>
        <w:rPr>
          <w:rFonts w:hint="eastAsia" w:ascii="仿宋" w:hAnsi="仿宋" w:eastAsia="仿宋" w:cs="宋体"/>
          <w:kern w:val="0"/>
          <w:sz w:val="24"/>
          <w:szCs w:val="24"/>
          <w:lang w:val="en-US" w:eastAsia="zh-Hans" w:bidi="ar-SA"/>
        </w:rPr>
        <w:t>刑法</w:t>
      </w:r>
      <w:r>
        <w:rPr>
          <w:rFonts w:hint="default" w:ascii="仿宋" w:hAnsi="仿宋" w:eastAsia="仿宋" w:cs="宋体"/>
          <w:kern w:val="0"/>
          <w:sz w:val="24"/>
          <w:szCs w:val="24"/>
          <w:lang w:eastAsia="zh-Hans" w:bidi="ar-SA"/>
        </w:rPr>
        <w:t>》</w:t>
      </w:r>
      <w:r>
        <w:rPr>
          <w:rFonts w:hint="eastAsia" w:ascii="仿宋" w:hAnsi="仿宋" w:eastAsia="仿宋" w:cs="宋体"/>
          <w:kern w:val="0"/>
          <w:sz w:val="24"/>
          <w:szCs w:val="24"/>
          <w:lang w:eastAsia="zh-CN" w:bidi="ar-SA"/>
        </w:rPr>
        <w:t>第二百七十一条　公司、企业或者其他单位的工作人员，利用职务上的便利，将本单位财物非法占为己有，数额较大的，处三年以下有期徒刑或者拘役，并处罚金；数额巨大的，处三年以上十年以下有期徒刑，并处罚金；数额特别巨大的，处十年以上有期徒刑或者无期徒刑，并处罚金。</w:t>
      </w:r>
    </w:p>
    <w:p>
      <w:pPr>
        <w:widowControl/>
        <w:spacing w:before="100" w:beforeAutospacing="1" w:after="100" w:afterAutospacing="1" w:line="360" w:lineRule="auto"/>
        <w:ind w:firstLine="600" w:firstLineChars="250"/>
        <w:contextualSpacing/>
        <w:rPr>
          <w:rFonts w:hint="default" w:ascii="仿宋" w:hAnsi="仿宋" w:eastAsia="仿宋" w:cs="宋体"/>
          <w:kern w:val="0"/>
          <w:sz w:val="24"/>
          <w:szCs w:val="24"/>
          <w:lang w:eastAsia="zh-CN" w:bidi="ar-SA"/>
        </w:rPr>
      </w:pPr>
      <w:r>
        <w:rPr>
          <w:rFonts w:hint="eastAsia" w:ascii="仿宋" w:hAnsi="仿宋" w:eastAsia="仿宋" w:cs="宋体"/>
          <w:kern w:val="0"/>
          <w:sz w:val="24"/>
          <w:szCs w:val="24"/>
          <w:lang w:val="en-US" w:eastAsia="zh-CN" w:bidi="ar-SA"/>
        </w:rPr>
        <w:t>周娅副教授就“利用职务上的便利”的认定进行</w:t>
      </w:r>
      <w:r>
        <w:rPr>
          <w:rFonts w:hint="eastAsia" w:ascii="仿宋" w:hAnsi="仿宋" w:eastAsia="仿宋" w:cs="宋体"/>
          <w:kern w:val="0"/>
          <w:sz w:val="24"/>
          <w:szCs w:val="24"/>
          <w:lang w:val="en-US" w:eastAsia="zh-Hans" w:bidi="ar-SA"/>
        </w:rPr>
        <w:t>了</w:t>
      </w:r>
      <w:r>
        <w:rPr>
          <w:rFonts w:hint="eastAsia" w:ascii="仿宋" w:hAnsi="仿宋" w:eastAsia="仿宋" w:cs="宋体"/>
          <w:kern w:val="0"/>
          <w:sz w:val="24"/>
          <w:szCs w:val="24"/>
          <w:lang w:val="en-US" w:eastAsia="zh-CN" w:bidi="ar-SA"/>
        </w:rPr>
        <w:t>全面讲解</w:t>
      </w:r>
      <w:r>
        <w:rPr>
          <w:rFonts w:hint="default" w:ascii="仿宋" w:hAnsi="仿宋" w:eastAsia="仿宋" w:cs="宋体"/>
          <w:kern w:val="0"/>
          <w:sz w:val="24"/>
          <w:szCs w:val="24"/>
          <w:lang w:eastAsia="zh-CN" w:bidi="ar-SA"/>
        </w:rPr>
        <w:t>。</w:t>
      </w:r>
      <w:r>
        <w:rPr>
          <w:rFonts w:hint="eastAsia" w:ascii="仿宋" w:hAnsi="仿宋" w:eastAsia="仿宋" w:cs="宋体"/>
          <w:kern w:val="0"/>
          <w:sz w:val="24"/>
          <w:szCs w:val="24"/>
          <w:lang w:val="en-US" w:eastAsia="zh-Hans" w:bidi="ar-SA"/>
        </w:rPr>
        <w:t>首先对</w:t>
      </w:r>
      <w:r>
        <w:rPr>
          <w:rFonts w:hint="eastAsia" w:ascii="仿宋" w:hAnsi="仿宋" w:eastAsia="仿宋" w:cs="宋体"/>
          <w:kern w:val="0"/>
          <w:sz w:val="24"/>
          <w:szCs w:val="24"/>
          <w:lang w:val="en-US" w:eastAsia="zh-CN" w:bidi="ar-SA"/>
        </w:rPr>
        <w:t>“职务”</w:t>
      </w:r>
      <w:r>
        <w:rPr>
          <w:rFonts w:hint="default" w:ascii="仿宋" w:hAnsi="仿宋" w:eastAsia="仿宋" w:cs="宋体"/>
          <w:kern w:val="0"/>
          <w:sz w:val="24"/>
          <w:szCs w:val="24"/>
          <w:lang w:eastAsia="zh-CN" w:bidi="ar-SA"/>
        </w:rPr>
        <w:t>、</w:t>
      </w:r>
      <w:r>
        <w:rPr>
          <w:rFonts w:hint="eastAsia" w:ascii="仿宋" w:hAnsi="仿宋" w:eastAsia="仿宋" w:cs="宋体"/>
          <w:kern w:val="0"/>
          <w:sz w:val="24"/>
          <w:szCs w:val="24"/>
          <w:lang w:eastAsia="zh-Hans" w:bidi="ar-SA"/>
        </w:rPr>
        <w:t>“</w:t>
      </w:r>
      <w:r>
        <w:rPr>
          <w:rFonts w:hint="eastAsia" w:ascii="仿宋" w:hAnsi="仿宋" w:eastAsia="仿宋" w:cs="宋体"/>
          <w:kern w:val="0"/>
          <w:sz w:val="24"/>
          <w:szCs w:val="24"/>
          <w:lang w:val="en-US" w:eastAsia="zh-CN" w:bidi="ar-SA"/>
        </w:rPr>
        <w:t>业务”</w:t>
      </w:r>
      <w:r>
        <w:rPr>
          <w:rFonts w:hint="default" w:ascii="仿宋" w:hAnsi="仿宋" w:eastAsia="仿宋" w:cs="宋体"/>
          <w:kern w:val="0"/>
          <w:sz w:val="24"/>
          <w:szCs w:val="24"/>
          <w:lang w:eastAsia="zh-CN" w:bidi="ar-SA"/>
        </w:rPr>
        <w:t>、</w:t>
      </w:r>
      <w:r>
        <w:rPr>
          <w:rFonts w:hint="eastAsia" w:ascii="仿宋" w:hAnsi="仿宋" w:eastAsia="仿宋" w:cs="宋体"/>
          <w:kern w:val="0"/>
          <w:sz w:val="24"/>
          <w:szCs w:val="24"/>
          <w:lang w:val="en-US" w:eastAsia="zh-CN" w:bidi="ar-SA"/>
        </w:rPr>
        <w:t>“劳务”</w:t>
      </w:r>
      <w:r>
        <w:rPr>
          <w:rFonts w:hint="eastAsia" w:ascii="仿宋" w:hAnsi="仿宋" w:eastAsia="仿宋" w:cs="宋体"/>
          <w:kern w:val="0"/>
          <w:sz w:val="24"/>
          <w:szCs w:val="24"/>
          <w:lang w:val="en-US" w:eastAsia="zh-Hans" w:bidi="ar-SA"/>
        </w:rPr>
        <w:t>三个词进行了辨析</w:t>
      </w:r>
      <w:r>
        <w:rPr>
          <w:rFonts w:hint="default" w:ascii="仿宋" w:hAnsi="仿宋" w:eastAsia="仿宋" w:cs="宋体"/>
          <w:kern w:val="0"/>
          <w:sz w:val="24"/>
          <w:szCs w:val="24"/>
          <w:lang w:eastAsia="zh-Hans" w:bidi="ar-SA"/>
        </w:rPr>
        <w:t>。</w:t>
      </w:r>
      <w:r>
        <w:rPr>
          <w:rFonts w:hint="eastAsia" w:ascii="仿宋" w:hAnsi="仿宋" w:eastAsia="仿宋" w:cs="宋体"/>
          <w:kern w:val="0"/>
          <w:sz w:val="24"/>
          <w:szCs w:val="24"/>
          <w:lang w:val="en-US" w:eastAsia="zh-Hans" w:bidi="ar-SA"/>
        </w:rPr>
        <w:t>接下来</w:t>
      </w:r>
      <w:r>
        <w:rPr>
          <w:rFonts w:hint="eastAsia" w:ascii="仿宋" w:hAnsi="仿宋" w:eastAsia="仿宋" w:cs="宋体"/>
          <w:kern w:val="0"/>
          <w:sz w:val="24"/>
          <w:szCs w:val="24"/>
          <w:lang w:val="en-US" w:eastAsia="zh-CN" w:bidi="ar-SA"/>
        </w:rPr>
        <w:t>介绍了职务侵占罪的客观构成要件，结合“顺丰快递分拣员偷窃案”这一经典案例，进一步指出职务侵占罪与盗窃罪均属非法占有型犯罪</w:t>
      </w:r>
      <w:r>
        <w:rPr>
          <w:rFonts w:hint="default" w:ascii="仿宋" w:hAnsi="仿宋" w:eastAsia="仿宋" w:cs="宋体"/>
          <w:kern w:val="0"/>
          <w:sz w:val="24"/>
          <w:szCs w:val="24"/>
          <w:lang w:eastAsia="zh-CN" w:bidi="ar-SA"/>
        </w:rPr>
        <w:t>，</w:t>
      </w:r>
      <w:r>
        <w:rPr>
          <w:rFonts w:hint="eastAsia" w:ascii="仿宋" w:hAnsi="仿宋" w:eastAsia="仿宋" w:cs="宋体"/>
          <w:kern w:val="0"/>
          <w:sz w:val="24"/>
          <w:szCs w:val="24"/>
          <w:lang w:val="en-US" w:eastAsia="zh-CN" w:bidi="ar-SA"/>
        </w:rPr>
        <w:t>而此时区分两罪的关键则在于行为人实施犯罪时有无利用职务上的便利。随后，周娅副教授总结了职务侵占的主要行为方式，包括传统行为、公费私收、内外勾结等</w:t>
      </w:r>
      <w:r>
        <w:rPr>
          <w:rFonts w:hint="default" w:ascii="仿宋" w:hAnsi="仿宋" w:eastAsia="仿宋" w:cs="宋体"/>
          <w:kern w:val="0"/>
          <w:sz w:val="24"/>
          <w:szCs w:val="24"/>
          <w:lang w:eastAsia="zh-CN" w:bidi="ar-SA"/>
        </w:rPr>
        <w:t>。</w:t>
      </w:r>
    </w:p>
    <w:p>
      <w:pPr>
        <w:widowControl/>
        <w:spacing w:before="100" w:beforeAutospacing="1" w:after="100" w:afterAutospacing="1" w:line="360" w:lineRule="auto"/>
        <w:ind w:firstLine="600" w:firstLineChars="250"/>
        <w:contextualSpacing/>
        <w:rPr>
          <w:rFonts w:hint="default" w:ascii="仿宋" w:hAnsi="仿宋" w:eastAsia="仿宋" w:cs="宋体"/>
          <w:kern w:val="0"/>
          <w:sz w:val="24"/>
          <w:szCs w:val="24"/>
          <w:lang w:eastAsia="zh-CN" w:bidi="ar-SA"/>
        </w:rPr>
      </w:pPr>
      <w:r>
        <w:rPr>
          <w:rFonts w:hint="default" w:ascii="仿宋" w:hAnsi="仿宋" w:eastAsia="仿宋" w:cs="宋体"/>
          <w:kern w:val="0"/>
          <w:sz w:val="24"/>
          <w:szCs w:val="24"/>
          <w:lang w:eastAsia="zh-CN" w:bidi="ar-SA"/>
        </w:rPr>
        <w:t>（</w:t>
      </w:r>
      <w:r>
        <w:rPr>
          <w:rFonts w:hint="eastAsia" w:ascii="仿宋" w:hAnsi="仿宋" w:eastAsia="仿宋" w:cs="宋体"/>
          <w:kern w:val="0"/>
          <w:sz w:val="24"/>
          <w:szCs w:val="24"/>
          <w:lang w:val="en-US" w:eastAsia="zh-Hans" w:bidi="ar-SA"/>
        </w:rPr>
        <w:t>三</w:t>
      </w:r>
      <w:r>
        <w:rPr>
          <w:rFonts w:hint="default" w:ascii="仿宋" w:hAnsi="仿宋" w:eastAsia="仿宋" w:cs="宋体"/>
          <w:kern w:val="0"/>
          <w:sz w:val="24"/>
          <w:szCs w:val="24"/>
          <w:lang w:eastAsia="zh-CN" w:bidi="ar-SA"/>
        </w:rPr>
        <w:t>）</w:t>
      </w:r>
      <w:r>
        <w:rPr>
          <w:rFonts w:hint="eastAsia" w:ascii="仿宋" w:hAnsi="仿宋" w:eastAsia="仿宋" w:cs="宋体"/>
          <w:kern w:val="0"/>
          <w:sz w:val="24"/>
          <w:szCs w:val="24"/>
          <w:lang w:val="en-US" w:eastAsia="zh-Hans" w:bidi="ar-SA"/>
        </w:rPr>
        <w:t>对</w:t>
      </w:r>
      <w:r>
        <w:rPr>
          <w:rFonts w:hint="default" w:ascii="仿宋" w:hAnsi="仿宋" w:eastAsia="仿宋" w:cs="宋体"/>
          <w:kern w:val="0"/>
          <w:sz w:val="24"/>
          <w:szCs w:val="24"/>
          <w:lang w:eastAsia="zh-CN" w:bidi="ar-SA"/>
        </w:rPr>
        <w:t>“非法占有目的</w:t>
      </w:r>
      <w:r>
        <w:rPr>
          <w:rFonts w:hint="default" w:ascii="仿宋" w:hAnsi="仿宋" w:eastAsia="仿宋" w:cs="宋体"/>
          <w:kern w:val="0"/>
          <w:sz w:val="24"/>
          <w:szCs w:val="24"/>
          <w:lang w:eastAsia="zh-CN" w:bidi="ar-SA"/>
        </w:rPr>
        <w:t>”</w:t>
      </w:r>
      <w:r>
        <w:rPr>
          <w:rFonts w:hint="eastAsia" w:ascii="仿宋" w:hAnsi="仿宋" w:eastAsia="仿宋" w:cs="宋体"/>
          <w:kern w:val="0"/>
          <w:sz w:val="24"/>
          <w:szCs w:val="24"/>
          <w:lang w:val="en-US" w:eastAsia="zh-Hans" w:bidi="ar-SA"/>
        </w:rPr>
        <w:t>的认定</w:t>
      </w:r>
    </w:p>
    <w:p>
      <w:pPr>
        <w:widowControl/>
        <w:spacing w:before="100" w:beforeAutospacing="1" w:after="100" w:afterAutospacing="1" w:line="360" w:lineRule="auto"/>
        <w:ind w:firstLine="600" w:firstLineChars="250"/>
        <w:contextualSpacing/>
        <w:rPr>
          <w:rFonts w:hint="eastAsia" w:ascii="仿宋" w:hAnsi="仿宋" w:eastAsia="仿宋" w:cs="宋体"/>
          <w:kern w:val="0"/>
          <w:sz w:val="24"/>
          <w:szCs w:val="24"/>
          <w:lang w:val="en-US" w:eastAsia="zh-CN" w:bidi="ar-SA"/>
        </w:rPr>
      </w:pPr>
      <w:r>
        <w:rPr>
          <w:rFonts w:hint="eastAsia" w:ascii="仿宋" w:hAnsi="仿宋" w:eastAsia="仿宋" w:cs="宋体"/>
          <w:kern w:val="0"/>
          <w:sz w:val="24"/>
          <w:szCs w:val="24"/>
          <w:lang w:val="en-US" w:eastAsia="zh-CN" w:bidi="ar-SA"/>
        </w:rPr>
        <w:t>周娅副教授认为可从以下两个方面去</w:t>
      </w:r>
      <w:r>
        <w:rPr>
          <w:rFonts w:hint="eastAsia" w:ascii="仿宋" w:hAnsi="仿宋" w:eastAsia="仿宋" w:cs="宋体"/>
          <w:kern w:val="0"/>
          <w:sz w:val="24"/>
          <w:szCs w:val="24"/>
          <w:lang w:val="en-US" w:eastAsia="zh-Hans" w:bidi="ar-SA"/>
        </w:rPr>
        <w:t>判断</w:t>
      </w:r>
      <w:r>
        <w:rPr>
          <w:rFonts w:hint="eastAsia" w:ascii="仿宋" w:hAnsi="仿宋" w:eastAsia="仿宋" w:cs="宋体"/>
          <w:kern w:val="0"/>
          <w:sz w:val="24"/>
          <w:szCs w:val="24"/>
          <w:lang w:val="en-US" w:eastAsia="zh-CN" w:bidi="ar-SA"/>
        </w:rPr>
        <w:t>行为人是否具有“非法</w:t>
      </w:r>
      <w:bookmarkStart w:id="0" w:name="_GoBack"/>
      <w:bookmarkEnd w:id="0"/>
      <w:r>
        <w:rPr>
          <w:rFonts w:hint="eastAsia" w:ascii="仿宋" w:hAnsi="仿宋" w:eastAsia="仿宋" w:cs="宋体"/>
          <w:kern w:val="0"/>
          <w:sz w:val="24"/>
          <w:szCs w:val="24"/>
          <w:lang w:val="en-US" w:eastAsia="zh-CN" w:bidi="ar-SA"/>
        </w:rPr>
        <w:t>占有”目的：一</w:t>
      </w:r>
      <w:r>
        <w:rPr>
          <w:rFonts w:hint="eastAsia" w:ascii="仿宋" w:hAnsi="仿宋" w:eastAsia="仿宋" w:cs="宋体"/>
          <w:kern w:val="0"/>
          <w:sz w:val="24"/>
          <w:szCs w:val="24"/>
          <w:lang w:val="en-US" w:eastAsia="zh-Hans" w:bidi="ar-SA"/>
        </w:rPr>
        <w:t>是</w:t>
      </w:r>
      <w:r>
        <w:rPr>
          <w:rFonts w:hint="eastAsia" w:ascii="仿宋" w:hAnsi="仿宋" w:eastAsia="仿宋" w:cs="宋体"/>
          <w:kern w:val="0"/>
          <w:sz w:val="24"/>
          <w:szCs w:val="24"/>
          <w:lang w:val="en-US" w:eastAsia="zh-CN" w:bidi="ar-SA"/>
        </w:rPr>
        <w:t>行为人不归还财物的原因，强调 “不归还”不等于具有“非法占有目的”，需结合“不归还”的具体原因综合辨析</w:t>
      </w:r>
      <w:r>
        <w:rPr>
          <w:rFonts w:hint="default" w:ascii="仿宋" w:hAnsi="仿宋" w:eastAsia="仿宋" w:cs="宋体"/>
          <w:kern w:val="0"/>
          <w:sz w:val="24"/>
          <w:szCs w:val="24"/>
          <w:lang w:eastAsia="zh-CN" w:bidi="ar-SA"/>
        </w:rPr>
        <w:t>。</w:t>
      </w:r>
      <w:r>
        <w:rPr>
          <w:rFonts w:hint="eastAsia" w:ascii="仿宋" w:hAnsi="仿宋" w:eastAsia="仿宋" w:cs="宋体"/>
          <w:kern w:val="0"/>
          <w:sz w:val="24"/>
          <w:szCs w:val="24"/>
          <w:lang w:val="en-US" w:eastAsia="zh-CN" w:bidi="ar-SA"/>
        </w:rPr>
        <w:t>二</w:t>
      </w:r>
      <w:r>
        <w:rPr>
          <w:rFonts w:hint="eastAsia" w:ascii="仿宋" w:hAnsi="仿宋" w:eastAsia="仿宋" w:cs="宋体"/>
          <w:kern w:val="0"/>
          <w:sz w:val="24"/>
          <w:szCs w:val="24"/>
          <w:lang w:val="en-US" w:eastAsia="zh-Hans" w:bidi="ar-SA"/>
        </w:rPr>
        <w:t>是</w:t>
      </w:r>
      <w:r>
        <w:rPr>
          <w:rFonts w:hint="eastAsia" w:ascii="仿宋" w:hAnsi="仿宋" w:eastAsia="仿宋" w:cs="宋体"/>
          <w:kern w:val="0"/>
          <w:sz w:val="24"/>
          <w:szCs w:val="24"/>
          <w:lang w:val="en-US" w:eastAsia="zh-CN" w:bidi="ar-SA"/>
        </w:rPr>
        <w:t>关注资金的用途</w:t>
      </w:r>
      <w:r>
        <w:rPr>
          <w:rFonts w:hint="default" w:ascii="仿宋" w:hAnsi="仿宋" w:eastAsia="仿宋" w:cs="宋体"/>
          <w:kern w:val="0"/>
          <w:sz w:val="24"/>
          <w:szCs w:val="24"/>
          <w:lang w:eastAsia="zh-CN" w:bidi="ar-SA"/>
        </w:rPr>
        <w:t>，</w:t>
      </w:r>
      <w:r>
        <w:rPr>
          <w:rFonts w:hint="eastAsia" w:ascii="仿宋" w:hAnsi="仿宋" w:eastAsia="仿宋" w:cs="宋体"/>
          <w:kern w:val="0"/>
          <w:sz w:val="24"/>
          <w:szCs w:val="24"/>
          <w:lang w:val="en-US" w:eastAsia="zh-CN" w:bidi="ar-SA"/>
        </w:rPr>
        <w:t>审查行为人是否存在侵占财物后逃跑的、肆意挥霍侵占财物的、将财物用于违法犯罪活动的或其他非法占有财物的行为等客观情形</w:t>
      </w:r>
      <w:r>
        <w:rPr>
          <w:rFonts w:hint="default" w:ascii="仿宋" w:hAnsi="仿宋" w:eastAsia="仿宋" w:cs="宋体"/>
          <w:kern w:val="0"/>
          <w:sz w:val="24"/>
          <w:szCs w:val="24"/>
          <w:lang w:val="en-US" w:eastAsia="zh-CN" w:bidi="ar-SA"/>
        </w:rPr>
        <w:t>。</w:t>
      </w:r>
    </w:p>
    <w:p>
      <w:pPr>
        <w:rPr>
          <w:rFonts w:hint="eastAsia" w:ascii="仿宋" w:hAnsi="仿宋" w:eastAsia="仿宋" w:cs="宋体"/>
          <w:kern w:val="0"/>
          <w:sz w:val="24"/>
          <w:szCs w:val="24"/>
          <w:lang w:val="en-US" w:eastAsia="zh-Hans" w:bidi="ar-SA"/>
        </w:rPr>
      </w:pPr>
      <w:r>
        <w:t xml:space="preserve">     </w:t>
      </w:r>
      <w:r>
        <w:rPr>
          <w:rFonts w:hint="eastAsia" w:ascii="仿宋" w:hAnsi="仿宋" w:eastAsia="仿宋" w:cs="宋体"/>
          <w:kern w:val="0"/>
          <w:sz w:val="24"/>
          <w:szCs w:val="24"/>
          <w:lang w:eastAsia="zh-CN" w:bidi="ar-SA"/>
        </w:rPr>
        <w:t>（</w:t>
      </w:r>
      <w:r>
        <w:rPr>
          <w:rFonts w:hint="eastAsia" w:ascii="仿宋" w:hAnsi="仿宋" w:eastAsia="仿宋" w:cs="宋体"/>
          <w:kern w:val="0"/>
          <w:sz w:val="24"/>
          <w:szCs w:val="24"/>
          <w:lang w:val="en-US" w:eastAsia="zh-Hans" w:bidi="ar-SA"/>
        </w:rPr>
        <w:t>四</w:t>
      </w:r>
      <w:r>
        <w:rPr>
          <w:rFonts w:hint="eastAsia" w:ascii="仿宋" w:hAnsi="仿宋" w:eastAsia="仿宋" w:cs="宋体"/>
          <w:kern w:val="0"/>
          <w:sz w:val="24"/>
          <w:szCs w:val="24"/>
          <w:lang w:eastAsia="zh-CN" w:bidi="ar-SA"/>
        </w:rPr>
        <w:t>）财产混同时</w:t>
      </w:r>
      <w:r>
        <w:rPr>
          <w:rFonts w:hint="eastAsia" w:ascii="仿宋" w:hAnsi="仿宋" w:eastAsia="仿宋" w:cs="宋体"/>
          <w:kern w:val="0"/>
          <w:sz w:val="24"/>
          <w:szCs w:val="24"/>
          <w:lang w:val="en-US" w:eastAsia="zh-Hans" w:bidi="ar-SA"/>
        </w:rPr>
        <w:t>的辩护思路</w:t>
      </w:r>
    </w:p>
    <w:p>
      <w:pPr>
        <w:keepNext w:val="0"/>
        <w:keepLines w:val="0"/>
        <w:widowControl/>
        <w:suppressLineNumbers w:val="0"/>
        <w:ind w:firstLine="480" w:firstLineChars="200"/>
        <w:jc w:val="both"/>
        <w:rPr>
          <w:rFonts w:hint="eastAsia" w:ascii="仿宋" w:hAnsi="仿宋" w:eastAsia="仿宋" w:cs="宋体"/>
          <w:kern w:val="0"/>
          <w:sz w:val="24"/>
          <w:szCs w:val="24"/>
          <w:lang w:eastAsia="zh-Hans" w:bidi="ar-SA"/>
        </w:rPr>
      </w:pPr>
      <w:r>
        <w:rPr>
          <w:rFonts w:hint="eastAsia" w:ascii="仿宋" w:hAnsi="仿宋" w:eastAsia="仿宋" w:cs="宋体"/>
          <w:kern w:val="0"/>
          <w:sz w:val="24"/>
          <w:szCs w:val="24"/>
          <w:lang w:val="en-US" w:eastAsia="zh-CN" w:bidi="ar-SA"/>
        </w:rPr>
        <w:t>对于财产混同时的解决方案和辩护思路，周娅副教授认为，律师办理此类案件，除了从实质解释论角度出发，判断公司利益是否受到侵害外，还要关注法律政策层面，保持刑法的谦</w:t>
      </w:r>
      <w:r>
        <w:rPr>
          <w:rFonts w:hint="eastAsia" w:ascii="仿宋" w:hAnsi="仿宋" w:eastAsia="仿宋" w:cs="宋体"/>
          <w:kern w:val="0"/>
          <w:sz w:val="24"/>
          <w:szCs w:val="24"/>
          <w:lang w:val="en-US" w:eastAsia="zh-Hans" w:bidi="ar-SA"/>
        </w:rPr>
        <w:t>抑</w:t>
      </w:r>
      <w:r>
        <w:rPr>
          <w:rFonts w:hint="eastAsia" w:ascii="仿宋" w:hAnsi="仿宋" w:eastAsia="仿宋" w:cs="宋体"/>
          <w:kern w:val="0"/>
          <w:sz w:val="24"/>
          <w:szCs w:val="24"/>
          <w:lang w:val="en-US" w:eastAsia="zh-CN" w:bidi="ar-SA"/>
        </w:rPr>
        <w:t>性，加强对民营企业家、企业财产的保护。与此同时，周娅副教授指出，企业须从自身出发，完善内部监管机制和相关规章制度，定期开展法治宣讲、聘请专业的经济和法律顾问，从根本上预防企业犯罪发生。</w:t>
      </w:r>
    </w:p>
    <w:p>
      <w:pPr>
        <w:keepNext w:val="0"/>
        <w:keepLines w:val="0"/>
        <w:widowControl/>
        <w:numPr>
          <w:ilvl w:val="0"/>
          <w:numId w:val="1"/>
        </w:numPr>
        <w:suppressLineNumbers w:val="0"/>
        <w:ind w:firstLine="480" w:firstLineChars="200"/>
        <w:jc w:val="both"/>
        <w:rPr>
          <w:rFonts w:hint="eastAsia" w:ascii="仿宋" w:hAnsi="仿宋" w:eastAsia="仿宋" w:cs="宋体"/>
          <w:kern w:val="0"/>
          <w:sz w:val="24"/>
          <w:szCs w:val="24"/>
          <w:lang w:val="en-US" w:eastAsia="zh-CN" w:bidi="ar-SA"/>
        </w:rPr>
      </w:pPr>
      <w:r>
        <w:rPr>
          <w:rFonts w:hint="eastAsia" w:ascii="仿宋" w:hAnsi="仿宋" w:eastAsia="仿宋" w:cs="宋体"/>
          <w:kern w:val="0"/>
          <w:sz w:val="24"/>
          <w:szCs w:val="24"/>
          <w:lang w:val="en-US" w:eastAsia="zh-CN" w:bidi="ar-SA"/>
        </w:rPr>
        <w:t>与谈环节</w:t>
      </w:r>
    </w:p>
    <w:p>
      <w:pPr>
        <w:keepNext w:val="0"/>
        <w:keepLines w:val="0"/>
        <w:widowControl/>
        <w:suppressLineNumbers w:val="0"/>
        <w:ind w:firstLine="482" w:firstLineChars="200"/>
        <w:jc w:val="both"/>
        <w:rPr>
          <w:rFonts w:hint="eastAsia" w:ascii="仿宋" w:hAnsi="仿宋" w:eastAsia="仿宋" w:cs="宋体"/>
          <w:kern w:val="0"/>
          <w:sz w:val="24"/>
          <w:szCs w:val="24"/>
          <w:lang w:val="en-US" w:eastAsia="zh-CN" w:bidi="ar-SA"/>
        </w:rPr>
      </w:pPr>
      <w:r>
        <w:rPr>
          <w:rFonts w:hint="eastAsia" w:ascii="仿宋" w:hAnsi="仿宋" w:eastAsia="仿宋" w:cs="宋体"/>
          <w:b/>
          <w:bCs/>
          <w:kern w:val="0"/>
          <w:sz w:val="24"/>
          <w:szCs w:val="24"/>
          <w:lang w:val="en-US" w:eastAsia="zh-CN" w:bidi="ar-SA"/>
        </w:rPr>
        <w:t>李玮</w:t>
      </w:r>
      <w:r>
        <w:rPr>
          <w:rFonts w:hint="eastAsia" w:ascii="仿宋" w:hAnsi="仿宋" w:eastAsia="仿宋" w:cs="宋体"/>
          <w:b/>
          <w:bCs/>
          <w:kern w:val="0"/>
          <w:sz w:val="24"/>
          <w:szCs w:val="24"/>
          <w:lang w:val="en-US" w:eastAsia="zh-Hans" w:bidi="ar-SA"/>
        </w:rPr>
        <w:t>律师认为</w:t>
      </w:r>
      <w:r>
        <w:rPr>
          <w:rFonts w:hint="default" w:ascii="仿宋" w:hAnsi="仿宋" w:eastAsia="仿宋" w:cs="宋体"/>
          <w:b/>
          <w:bCs/>
          <w:kern w:val="0"/>
          <w:sz w:val="24"/>
          <w:szCs w:val="24"/>
          <w:lang w:eastAsia="zh-Hans" w:bidi="ar-SA"/>
        </w:rPr>
        <w:t>：</w:t>
      </w:r>
      <w:r>
        <w:rPr>
          <w:rFonts w:hint="eastAsia" w:ascii="仿宋" w:hAnsi="仿宋" w:eastAsia="仿宋" w:cs="宋体"/>
          <w:kern w:val="0"/>
          <w:sz w:val="24"/>
          <w:szCs w:val="24"/>
          <w:lang w:val="en-US" w:eastAsia="zh-CN" w:bidi="ar-SA"/>
        </w:rPr>
        <w:t>民事混同与刑事混同的认定标准并不相同；在婚姻家事案件中，一方有刑事风险的，常被用作以打促谈的条件，同时把握以打促谈的尺度，防止陷入敲诈勒索。我国实行夫妻共同财产制为原则、分别财产制为例外的家庭财产制度，家事案件分割财产一般需要析产，而刑事案件判决侧重点在于定罪量刑，并没有对夫妻共同财产进行析产，一般被刑事查封的财产很难在离婚案件中被分割，例如徐翔离婚案。但是，当事人可以以合法手段规避刑事查封风险，当然并不是洗钱，如利用保险、信托等合法手段，预先规避法律风险。</w:t>
      </w:r>
    </w:p>
    <w:p>
      <w:pPr>
        <w:keepNext w:val="0"/>
        <w:keepLines w:val="0"/>
        <w:widowControl/>
        <w:suppressLineNumbers w:val="0"/>
        <w:ind w:firstLine="482" w:firstLineChars="200"/>
        <w:jc w:val="both"/>
        <w:rPr>
          <w:rFonts w:hint="eastAsia" w:ascii="仿宋" w:hAnsi="仿宋" w:eastAsia="仿宋" w:cs="宋体"/>
          <w:kern w:val="0"/>
          <w:sz w:val="24"/>
          <w:szCs w:val="24"/>
          <w:lang w:val="en-US" w:eastAsia="zh-CN" w:bidi="ar-SA"/>
        </w:rPr>
      </w:pPr>
      <w:r>
        <w:rPr>
          <w:rFonts w:hint="eastAsia" w:ascii="仿宋" w:hAnsi="仿宋" w:eastAsia="仿宋" w:cs="宋体"/>
          <w:b/>
          <w:bCs/>
          <w:kern w:val="0"/>
          <w:sz w:val="24"/>
          <w:szCs w:val="24"/>
          <w:lang w:val="en-US" w:eastAsia="zh-CN" w:bidi="ar-SA"/>
        </w:rPr>
        <w:t>王平聚</w:t>
      </w:r>
      <w:r>
        <w:rPr>
          <w:rFonts w:hint="eastAsia" w:ascii="仿宋" w:hAnsi="仿宋" w:eastAsia="仿宋" w:cs="宋体"/>
          <w:b/>
          <w:bCs/>
          <w:kern w:val="0"/>
          <w:sz w:val="24"/>
          <w:szCs w:val="24"/>
          <w:lang w:val="en-US" w:eastAsia="zh-Hans" w:bidi="ar-SA"/>
        </w:rPr>
        <w:t>律师认为</w:t>
      </w:r>
      <w:r>
        <w:rPr>
          <w:rFonts w:hint="default" w:ascii="仿宋" w:hAnsi="仿宋" w:eastAsia="仿宋" w:cs="宋体"/>
          <w:b/>
          <w:bCs/>
          <w:kern w:val="0"/>
          <w:sz w:val="24"/>
          <w:szCs w:val="24"/>
          <w:lang w:eastAsia="zh-Hans" w:bidi="ar-SA"/>
        </w:rPr>
        <w:t>：</w:t>
      </w:r>
      <w:r>
        <w:rPr>
          <w:rFonts w:hint="eastAsia" w:ascii="仿宋" w:hAnsi="仿宋" w:eastAsia="仿宋" w:cs="宋体"/>
          <w:kern w:val="0"/>
          <w:sz w:val="24"/>
          <w:szCs w:val="24"/>
          <w:lang w:val="en-US" w:eastAsia="zh-CN" w:bidi="ar-SA"/>
        </w:rPr>
        <w:t>家庭财产与企业财产不分的情形在我国民营企业中较为常见。不管是刑法还是民商法的规定，都力求企业家重视个人财产与企业财产的分割问题。因此，律师不仅要帮助企业家树立个人财产和企业财产分割的意识，还要切实研究并设立企业家公司财产、家庭财产、个人财产制度，充分保障民营企业家的合法财产。</w:t>
      </w:r>
    </w:p>
    <w:p>
      <w:pPr>
        <w:keepNext w:val="0"/>
        <w:keepLines w:val="0"/>
        <w:widowControl/>
        <w:suppressLineNumbers w:val="0"/>
        <w:ind w:firstLine="482" w:firstLineChars="200"/>
        <w:jc w:val="both"/>
        <w:rPr>
          <w:rFonts w:hint="eastAsia" w:ascii="仿宋" w:hAnsi="仿宋" w:eastAsia="仿宋" w:cs="宋体"/>
          <w:kern w:val="0"/>
          <w:sz w:val="24"/>
          <w:szCs w:val="24"/>
          <w:lang w:val="en-US" w:eastAsia="zh-CN" w:bidi="ar-SA"/>
        </w:rPr>
      </w:pPr>
      <w:r>
        <w:rPr>
          <w:rFonts w:hint="eastAsia" w:ascii="仿宋" w:hAnsi="仿宋" w:eastAsia="仿宋" w:cs="宋体"/>
          <w:b/>
          <w:bCs/>
          <w:kern w:val="0"/>
          <w:sz w:val="24"/>
          <w:szCs w:val="24"/>
          <w:lang w:val="en-US" w:eastAsia="zh-Hans" w:bidi="ar-SA"/>
        </w:rPr>
        <w:t>刘运娇律师认为</w:t>
      </w:r>
      <w:r>
        <w:rPr>
          <w:rFonts w:hint="default" w:ascii="仿宋" w:hAnsi="仿宋" w:eastAsia="仿宋" w:cs="宋体"/>
          <w:b/>
          <w:bCs/>
          <w:kern w:val="0"/>
          <w:sz w:val="24"/>
          <w:szCs w:val="24"/>
          <w:lang w:val="en-US" w:eastAsia="zh-Hans" w:bidi="ar-SA"/>
        </w:rPr>
        <w:t>：</w:t>
      </w:r>
      <w:r>
        <w:rPr>
          <w:rFonts w:hint="eastAsia" w:ascii="仿宋" w:hAnsi="仿宋" w:eastAsia="仿宋" w:cs="宋体"/>
          <w:kern w:val="0"/>
          <w:sz w:val="24"/>
          <w:szCs w:val="24"/>
          <w:lang w:val="en-US" w:eastAsia="zh-CN" w:bidi="ar-SA"/>
        </w:rPr>
        <w:t>在婚姻家事案件中，风险点主要体现在四个方面：一、夫妻感情破裂了，但离不了婚，因为财产混同，分不清哪些是企业的，哪些是家庭的，哪些是夫妻共同的；二、离不起婚，婚姻有规模经济的功能，夫妻离婚导致企业经营受到影响的案例屡见不鲜；三、想结婚但不敢结婚或者结婚了又办理所谓的“假离婚”，因为担心企业经营风险影响家庭生活；四、因为不敢结婚或者“假离婚”造成双方没有配偶身份，又会带来继承、相互扶养、监护等方面的风险。同时在家族财富传承中，律师还可以选择保险、信托等财富传承工具，为企业家们提供更全面、优质的法律服务。</w:t>
      </w:r>
    </w:p>
    <w:p>
      <w:pPr>
        <w:keepNext w:val="0"/>
        <w:keepLines w:val="0"/>
        <w:widowControl/>
        <w:suppressLineNumbers w:val="0"/>
        <w:ind w:firstLine="482" w:firstLineChars="200"/>
        <w:jc w:val="both"/>
        <w:rPr>
          <w:rFonts w:hint="eastAsia" w:ascii="仿宋" w:hAnsi="仿宋" w:eastAsia="仿宋" w:cs="宋体"/>
          <w:kern w:val="0"/>
          <w:sz w:val="24"/>
          <w:szCs w:val="24"/>
          <w:lang w:val="en-US" w:eastAsia="zh-CN" w:bidi="ar-SA"/>
        </w:rPr>
      </w:pPr>
      <w:r>
        <w:rPr>
          <w:rFonts w:hint="eastAsia" w:ascii="仿宋" w:hAnsi="仿宋" w:eastAsia="仿宋" w:cs="宋体"/>
          <w:b/>
          <w:bCs/>
          <w:kern w:val="0"/>
          <w:sz w:val="24"/>
          <w:szCs w:val="24"/>
          <w:lang w:val="en-US" w:eastAsia="zh-Hans" w:bidi="ar-SA"/>
        </w:rPr>
        <w:t>张宇鹏律师认为</w:t>
      </w:r>
      <w:r>
        <w:rPr>
          <w:rFonts w:hint="default" w:ascii="仿宋" w:hAnsi="仿宋" w:eastAsia="仿宋" w:cs="宋体"/>
          <w:b/>
          <w:bCs/>
          <w:kern w:val="0"/>
          <w:sz w:val="24"/>
          <w:szCs w:val="24"/>
          <w:lang w:eastAsia="zh-Hans" w:bidi="ar-SA"/>
        </w:rPr>
        <w:t>：</w:t>
      </w:r>
      <w:r>
        <w:rPr>
          <w:rFonts w:hint="eastAsia" w:ascii="仿宋" w:hAnsi="仿宋" w:eastAsia="仿宋" w:cs="宋体"/>
          <w:kern w:val="0"/>
          <w:sz w:val="24"/>
          <w:szCs w:val="24"/>
          <w:lang w:val="en-US" w:eastAsia="zh-CN" w:bidi="ar-SA"/>
        </w:rPr>
        <w:t>浙江义乌案仅从企业债权人的利益角度出发，定罪职务侵占，会有一种不当导向。会使人认为，如果是个人全资股东，公司财产就是个人财产了。公司既然是独立的法人，就具备自己的意志，具备自己的利益。义乌案以公司经营状况好坏为前提，是否会可能侵害到企业债权人利益为标准，来认定是否为职务侵占，这种情况仅作为特例来处理比较合适。职务侵占从侵害的法益来讲，侵害的不是股东的财产权利，侵害的是企业或其他单位的财产权利。家族成员股东或经营者实施的非法占有企业财产的行为，就应以职务侵占罪定罪。</w:t>
      </w:r>
    </w:p>
    <w:p>
      <w:pPr>
        <w:keepNext w:val="0"/>
        <w:keepLines w:val="0"/>
        <w:widowControl/>
        <w:suppressLineNumbers w:val="0"/>
        <w:ind w:firstLine="482" w:firstLineChars="200"/>
        <w:jc w:val="both"/>
        <w:rPr>
          <w:rFonts w:hint="eastAsia" w:ascii="仿宋" w:hAnsi="仿宋" w:eastAsia="仿宋" w:cs="宋体"/>
          <w:kern w:val="0"/>
          <w:sz w:val="24"/>
          <w:szCs w:val="24"/>
          <w:lang w:val="en-US" w:eastAsia="zh-CN" w:bidi="ar-SA"/>
        </w:rPr>
      </w:pPr>
      <w:r>
        <w:rPr>
          <w:rFonts w:hint="eastAsia" w:ascii="仿宋" w:hAnsi="仿宋" w:eastAsia="仿宋" w:cs="宋体"/>
          <w:b/>
          <w:bCs/>
          <w:kern w:val="0"/>
          <w:sz w:val="24"/>
          <w:szCs w:val="24"/>
          <w:lang w:val="en-US" w:eastAsia="zh-CN" w:bidi="ar-SA"/>
        </w:rPr>
        <w:t>胡梦蝶</w:t>
      </w:r>
      <w:r>
        <w:rPr>
          <w:rFonts w:hint="eastAsia" w:ascii="仿宋" w:hAnsi="仿宋" w:eastAsia="仿宋" w:cs="宋体"/>
          <w:b/>
          <w:bCs/>
          <w:kern w:val="0"/>
          <w:sz w:val="24"/>
          <w:szCs w:val="24"/>
          <w:lang w:val="en-US" w:eastAsia="zh-Hans" w:bidi="ar-SA"/>
        </w:rPr>
        <w:t>律师认为</w:t>
      </w:r>
      <w:r>
        <w:rPr>
          <w:rFonts w:hint="default" w:ascii="仿宋" w:hAnsi="仿宋" w:eastAsia="仿宋" w:cs="宋体"/>
          <w:b/>
          <w:bCs/>
          <w:kern w:val="0"/>
          <w:sz w:val="24"/>
          <w:szCs w:val="24"/>
          <w:lang w:eastAsia="zh-Hans" w:bidi="ar-SA"/>
        </w:rPr>
        <w:t>：</w:t>
      </w:r>
      <w:r>
        <w:rPr>
          <w:rFonts w:hint="eastAsia" w:ascii="仿宋" w:hAnsi="仿宋" w:eastAsia="仿宋" w:cs="宋体"/>
          <w:kern w:val="0"/>
          <w:sz w:val="24"/>
          <w:szCs w:val="24"/>
          <w:lang w:val="en-US" w:eastAsia="zh-CN" w:bidi="ar-SA"/>
        </w:rPr>
        <w:t>针对财产混同的相关案例进行重点解读</w:t>
      </w:r>
      <w:r>
        <w:rPr>
          <w:rFonts w:hint="eastAsia" w:ascii="仿宋" w:hAnsi="仿宋" w:eastAsia="仿宋" w:cs="宋体"/>
          <w:kern w:val="0"/>
          <w:sz w:val="24"/>
          <w:szCs w:val="24"/>
          <w:lang w:val="en-US" w:eastAsia="zh-Hans" w:bidi="ar-SA"/>
        </w:rPr>
        <w:t>后</w:t>
      </w:r>
      <w:r>
        <w:rPr>
          <w:rFonts w:hint="default" w:ascii="仿宋" w:hAnsi="仿宋" w:eastAsia="仿宋" w:cs="宋体"/>
          <w:kern w:val="0"/>
          <w:sz w:val="24"/>
          <w:szCs w:val="24"/>
          <w:lang w:eastAsia="zh-Hans" w:bidi="ar-SA"/>
        </w:rPr>
        <w:t>，</w:t>
      </w:r>
      <w:r>
        <w:rPr>
          <w:rFonts w:hint="eastAsia" w:ascii="仿宋" w:hAnsi="仿宋" w:eastAsia="仿宋" w:cs="宋体"/>
          <w:kern w:val="0"/>
          <w:sz w:val="24"/>
          <w:szCs w:val="24"/>
          <w:lang w:val="en-US" w:eastAsia="zh-Hans" w:bidi="ar-SA"/>
        </w:rPr>
        <w:t>在</w:t>
      </w:r>
      <w:r>
        <w:rPr>
          <w:rFonts w:hint="eastAsia" w:ascii="仿宋" w:hAnsi="仿宋" w:eastAsia="仿宋" w:cs="宋体"/>
          <w:kern w:val="0"/>
          <w:sz w:val="24"/>
          <w:szCs w:val="24"/>
          <w:lang w:val="en-US" w:eastAsia="zh-CN" w:bidi="ar-SA"/>
        </w:rPr>
        <w:t>办理家事案件中，若遇到家庭财产和公司财产混同的情形，可以从其他股东是否知情同意、资金用途（如公司与家庭之间是否有资金往来）、主观上是否有非法占有目的以及维权途径四个关键节点进行综合分析。</w:t>
      </w:r>
    </w:p>
    <w:p>
      <w:pPr>
        <w:keepNext w:val="0"/>
        <w:keepLines w:val="0"/>
        <w:widowControl/>
        <w:suppressLineNumbers w:val="0"/>
        <w:ind w:firstLine="482" w:firstLineChars="200"/>
        <w:jc w:val="both"/>
        <w:rPr>
          <w:rFonts w:hint="eastAsia" w:ascii="仿宋" w:hAnsi="仿宋" w:eastAsia="仿宋" w:cs="宋体"/>
          <w:kern w:val="0"/>
          <w:sz w:val="24"/>
          <w:szCs w:val="24"/>
          <w:lang w:val="en-US" w:eastAsia="zh-CN" w:bidi="ar-SA"/>
        </w:rPr>
      </w:pPr>
      <w:r>
        <w:rPr>
          <w:rFonts w:hint="eastAsia" w:ascii="仿宋" w:hAnsi="仿宋" w:eastAsia="仿宋" w:cs="宋体"/>
          <w:b/>
          <w:bCs/>
          <w:kern w:val="0"/>
          <w:sz w:val="24"/>
          <w:szCs w:val="24"/>
          <w:lang w:val="en-US" w:eastAsia="zh-CN" w:bidi="ar-SA"/>
        </w:rPr>
        <w:t>石晓敏律师认为</w:t>
      </w:r>
      <w:r>
        <w:rPr>
          <w:rFonts w:hint="default" w:ascii="仿宋" w:hAnsi="仿宋" w:eastAsia="仿宋" w:cs="宋体"/>
          <w:b/>
          <w:bCs/>
          <w:kern w:val="0"/>
          <w:sz w:val="24"/>
          <w:szCs w:val="24"/>
          <w:lang w:eastAsia="zh-CN" w:bidi="ar-SA"/>
        </w:rPr>
        <w:t>：</w:t>
      </w:r>
      <w:r>
        <w:rPr>
          <w:rFonts w:hint="eastAsia" w:ascii="仿宋" w:hAnsi="仿宋" w:eastAsia="仿宋" w:cs="宋体"/>
          <w:kern w:val="0"/>
          <w:sz w:val="24"/>
          <w:szCs w:val="24"/>
          <w:lang w:val="en-US" w:eastAsia="zh-CN" w:bidi="ar-SA"/>
        </w:rPr>
        <w:t>企业家对财产混同的风险意识比较淡薄，在夫妻共同经营的民营企业中尤为常见，如何通过我们律师的宣传，提高企业家对企业财产和家庭财产混风险的认识，是我们律师的一项重要社会责任。同时，企业应建立真正行之有效的合规管理体系，制定比较完善的合规制度和内控流程，并且很好的坚持执行，可以大大的降低企业员工犯罪的概率。</w:t>
      </w:r>
    </w:p>
    <w:p>
      <w:pPr>
        <w:keepNext w:val="0"/>
        <w:keepLines w:val="0"/>
        <w:widowControl/>
        <w:suppressLineNumbers w:val="0"/>
        <w:ind w:firstLine="482" w:firstLineChars="200"/>
        <w:jc w:val="both"/>
        <w:rPr>
          <w:rFonts w:hint="eastAsia" w:ascii="仿宋" w:hAnsi="仿宋" w:eastAsia="仿宋" w:cs="宋体"/>
          <w:kern w:val="0"/>
          <w:sz w:val="24"/>
          <w:szCs w:val="24"/>
          <w:lang w:val="en-US" w:eastAsia="zh-CN" w:bidi="ar-SA"/>
        </w:rPr>
      </w:pPr>
      <w:r>
        <w:rPr>
          <w:rFonts w:hint="eastAsia" w:ascii="仿宋" w:hAnsi="仿宋" w:eastAsia="仿宋" w:cs="宋体"/>
          <w:b/>
          <w:bCs/>
          <w:kern w:val="0"/>
          <w:sz w:val="24"/>
          <w:szCs w:val="24"/>
          <w:lang w:val="en-US" w:eastAsia="zh-CN" w:bidi="ar-SA"/>
        </w:rPr>
        <w:t>邵心语律师</w:t>
      </w:r>
      <w:r>
        <w:rPr>
          <w:rFonts w:hint="eastAsia" w:ascii="仿宋" w:hAnsi="仿宋" w:eastAsia="仿宋" w:cs="宋体"/>
          <w:b/>
          <w:bCs/>
          <w:kern w:val="0"/>
          <w:sz w:val="24"/>
          <w:szCs w:val="24"/>
          <w:lang w:val="en-US" w:eastAsia="zh-Hans" w:bidi="ar-SA"/>
        </w:rPr>
        <w:t>认为</w:t>
      </w:r>
      <w:r>
        <w:rPr>
          <w:rFonts w:hint="default" w:ascii="仿宋" w:hAnsi="仿宋" w:eastAsia="仿宋" w:cs="宋体"/>
          <w:b/>
          <w:bCs/>
          <w:kern w:val="0"/>
          <w:sz w:val="24"/>
          <w:szCs w:val="24"/>
          <w:lang w:eastAsia="zh-Hans" w:bidi="ar-SA"/>
        </w:rPr>
        <w:t>：</w:t>
      </w:r>
      <w:r>
        <w:rPr>
          <w:rFonts w:hint="eastAsia" w:ascii="仿宋" w:hAnsi="仿宋" w:eastAsia="仿宋" w:cs="宋体"/>
          <w:kern w:val="0"/>
          <w:sz w:val="24"/>
          <w:szCs w:val="24"/>
          <w:lang w:val="en-US" w:eastAsia="zh-CN" w:bidi="ar-SA"/>
        </w:rPr>
        <w:t>刑法的谦抑性不等于刑法不介入任何民事案件，对于财产混同案件是否纳入刑事规制，应基于客观行为、法益侵害等要件具体判断。对于企业而言，相比事中认定、事后救济，事前防范更为重要。建立完善的监管制度、财务制度和人员内部制度，可以有效防范刑事法律风险。</w:t>
      </w:r>
    </w:p>
    <w:p>
      <w:pPr>
        <w:numPr>
          <w:ilvl w:val="0"/>
          <w:numId w:val="1"/>
        </w:numPr>
        <w:ind w:firstLine="480" w:firstLineChars="200"/>
        <w:jc w:val="both"/>
        <w:rPr>
          <w:rFonts w:hint="eastAsia" w:ascii="仿宋" w:hAnsi="仿宋" w:eastAsia="仿宋" w:cs="宋体"/>
          <w:kern w:val="0"/>
          <w:sz w:val="24"/>
          <w:szCs w:val="24"/>
          <w:lang w:val="en-US" w:eastAsia="zh-Hans" w:bidi="ar-SA"/>
        </w:rPr>
      </w:pPr>
      <w:r>
        <w:rPr>
          <w:rFonts w:hint="eastAsia" w:ascii="仿宋" w:hAnsi="仿宋" w:eastAsia="仿宋" w:cs="宋体"/>
          <w:kern w:val="0"/>
          <w:sz w:val="24"/>
          <w:szCs w:val="24"/>
          <w:lang w:val="en-US" w:eastAsia="zh-Hans" w:bidi="ar-SA"/>
        </w:rPr>
        <w:t>结语</w:t>
      </w:r>
    </w:p>
    <w:p>
      <w:pPr>
        <w:spacing w:line="540" w:lineRule="exact"/>
        <w:ind w:firstLine="480" w:firstLineChars="200"/>
        <w:jc w:val="both"/>
        <w:rPr>
          <w:rFonts w:hint="eastAsia" w:ascii="仿宋" w:hAnsi="仿宋" w:eastAsia="仿宋" w:cs="Arial"/>
          <w:color w:val="333333"/>
          <w:kern w:val="0"/>
          <w:sz w:val="24"/>
          <w:szCs w:val="24"/>
          <w:lang w:val="en-US" w:eastAsia="zh-CN" w:bidi="ar-SA"/>
        </w:rPr>
      </w:pPr>
      <w:r>
        <w:rPr>
          <w:rFonts w:hint="eastAsia" w:ascii="仿宋" w:hAnsi="仿宋" w:eastAsia="仿宋" w:cs="Arial"/>
          <w:color w:val="333333"/>
          <w:kern w:val="0"/>
          <w:sz w:val="24"/>
          <w:szCs w:val="24"/>
          <w:lang w:val="en-US" w:eastAsia="zh-Hans" w:bidi="ar-SA"/>
        </w:rPr>
        <w:t>本次研讨持续3个小时</w:t>
      </w:r>
      <w:r>
        <w:rPr>
          <w:rFonts w:hint="default" w:ascii="仿宋" w:hAnsi="仿宋" w:eastAsia="仿宋" w:cs="Arial"/>
          <w:color w:val="333333"/>
          <w:kern w:val="0"/>
          <w:sz w:val="24"/>
          <w:szCs w:val="24"/>
          <w:lang w:eastAsia="zh-Hans" w:bidi="ar-SA"/>
        </w:rPr>
        <w:t>，</w:t>
      </w:r>
      <w:r>
        <w:rPr>
          <w:rFonts w:hint="eastAsia" w:ascii="仿宋" w:hAnsi="仿宋" w:eastAsia="仿宋" w:cs="Arial"/>
          <w:color w:val="333333"/>
          <w:kern w:val="0"/>
          <w:sz w:val="24"/>
          <w:szCs w:val="24"/>
          <w:lang w:val="en-US" w:eastAsia="zh-Hans" w:bidi="ar-SA"/>
        </w:rPr>
        <w:t>通过嘉宾的观点交流和思想碰撞，深化了与会人员对“家庭财产与企业财产混同下的刑事法律风险”相关问题的思考，达到了预期效果。接下来常辩委的活动</w:t>
      </w:r>
      <w:r>
        <w:rPr>
          <w:rFonts w:hint="eastAsia" w:ascii="仿宋" w:hAnsi="仿宋" w:eastAsia="仿宋" w:cs="Arial"/>
          <w:color w:val="333333"/>
          <w:kern w:val="0"/>
          <w:sz w:val="24"/>
          <w:szCs w:val="24"/>
          <w:lang w:val="en-US" w:eastAsia="zh-CN" w:bidi="ar-SA"/>
        </w:rPr>
        <w:t>将继续紧跟刑事领域的行业热点，为更多深圳律师、相关从业人员提供常态化、体系化的学习交流平台，以促进深圳律师在刑事领域的共同进步。</w:t>
      </w:r>
    </w:p>
    <w:p>
      <w:pPr>
        <w:ind w:firstLine="480" w:firstLineChars="200"/>
        <w:jc w:val="both"/>
        <w:rPr>
          <w:rFonts w:hint="eastAsia" w:ascii="仿宋" w:hAnsi="仿宋" w:eastAsia="仿宋" w:cs="Arial"/>
          <w:color w:val="333333"/>
          <w:kern w:val="0"/>
          <w:sz w:val="24"/>
          <w:szCs w:val="24"/>
          <w:lang w:val="en-US" w:eastAsia="zh-CN" w:bidi="ar-SA"/>
        </w:rPr>
      </w:pPr>
    </w:p>
    <w:p>
      <w:pPr>
        <w:ind w:firstLine="480" w:firstLineChars="200"/>
        <w:jc w:val="both"/>
        <w:rPr>
          <w:rFonts w:hint="eastAsia" w:ascii="仿宋" w:hAnsi="仿宋" w:eastAsia="仿宋" w:cs="Arial"/>
          <w:color w:val="333333"/>
          <w:kern w:val="0"/>
          <w:sz w:val="24"/>
          <w:szCs w:val="24"/>
          <w:lang w:val="en-US" w:eastAsia="zh-CN" w:bidi="ar-S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等线">
    <w:altName w:val="汉仪中等线KW"/>
    <w:panose1 w:val="02010600030101010101"/>
    <w:charset w:val="86"/>
    <w:family w:val="auto"/>
    <w:pitch w:val="default"/>
    <w:sig w:usb0="00000000" w:usb1="00000000" w:usb2="00000016" w:usb3="00000000" w:csb0="0004000F" w:csb1="00000000"/>
  </w:font>
  <w:font w:name="黑体">
    <w:altName w:val="汉仪中黑KW"/>
    <w:panose1 w:val="02010609060101010101"/>
    <w:charset w:val="86"/>
    <w:family w:val="modern"/>
    <w:pitch w:val="default"/>
    <w:sig w:usb0="00000000" w:usb1="00000000" w:usb2="00000016" w:usb3="00000000" w:csb0="00040001" w:csb1="00000000"/>
  </w:font>
  <w:font w:name="仿宋">
    <w:altName w:val="方正仿宋_GBK"/>
    <w:panose1 w:val="02010609060101010101"/>
    <w:charset w:val="86"/>
    <w:family w:val="modern"/>
    <w:pitch w:val="default"/>
    <w:sig w:usb0="00000000" w:usb1="00000000" w:usb2="00000016" w:usb3="00000000" w:csb0="00040001" w:csb1="00000000"/>
  </w:font>
  <w:font w:name="Arial">
    <w:panose1 w:val="020B0704020202020204"/>
    <w:charset w:val="00"/>
    <w:family w:val="swiss"/>
    <w:pitch w:val="default"/>
    <w:sig w:usb0="E0002AFF" w:usb1="C0007843" w:usb2="00000009" w:usb3="00000000" w:csb0="400001FF" w:csb1="FFFF0000"/>
  </w:font>
  <w:font w:name="等线 Light">
    <w:altName w:val="汉仪中等线KW"/>
    <w:panose1 w:val="02010600030101010101"/>
    <w:charset w:val="86"/>
    <w:family w:val="auto"/>
    <w:pitch w:val="default"/>
    <w:sig w:usb0="00000000" w:usb1="00000000" w:usb2="00000016" w:usb3="00000000" w:csb0="0004000F" w:csb1="00000000"/>
  </w:font>
  <w:font w:name="等线">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汉仪中黑KW">
    <w:panose1 w:val="00020600040101010101"/>
    <w:charset w:val="86"/>
    <w:family w:val="auto"/>
    <w:pitch w:val="default"/>
    <w:sig w:usb0="A00002BF" w:usb1="18EF7CFA" w:usb2="00000016" w:usb3="00000000" w:csb0="00040000" w:csb1="00000000"/>
  </w:font>
  <w:font w:name="方正仿宋_GBK">
    <w:panose1 w:val="02000000000000000000"/>
    <w:charset w:val="86"/>
    <w:family w:val="auto"/>
    <w:pitch w:val="default"/>
    <w:sig w:usb0="A00002BF" w:usb1="38CF7CFA" w:usb2="00082016" w:usb3="00000000" w:csb0="00040001" w:csb1="00000000"/>
  </w:font>
  <w:font w:name="Symbol">
    <w:altName w:val="Kingsoft Sign"/>
    <w:panose1 w:val="00000000000000000000"/>
    <w:charset w:val="00"/>
    <w:family w:val="auto"/>
    <w:pitch w:val="default"/>
    <w:sig w:usb0="00000000" w:usb1="00000000" w:usb2="00000000" w:usb3="00000000" w:csb0="00000000" w:csb1="00000000"/>
  </w:font>
  <w:font w:name="Kingsoft Sign">
    <w:panose1 w:val="05050102010706020507"/>
    <w:charset w:val="00"/>
    <w:family w:val="auto"/>
    <w:pitch w:val="default"/>
    <w:sig w:usb0="00000000" w:usb1="10000000" w:usb2="00000000" w:usb3="00000000" w:csb0="00000001" w:csb1="00000000"/>
  </w:font>
  <w:font w:name="仿宋">
    <w:altName w:val="方正仿宋_GBK"/>
    <w:panose1 w:val="00000000000000000000"/>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黑体">
    <w:altName w:val="汉仪中黑KW"/>
    <w:panose1 w:val="02010609060101010101"/>
    <w:charset w:val="00"/>
    <w:family w:val="auto"/>
    <w:pitch w:val="default"/>
    <w:sig w:usb0="00000000" w:usb1="00000000"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system-ui">
    <w:altName w:val="苹方-简"/>
    <w:panose1 w:val="00000000000000000000"/>
    <w:charset w:val="00"/>
    <w:family w:val="auto"/>
    <w:pitch w:val="default"/>
    <w:sig w:usb0="00000000" w:usb1="00000000" w:usb2="00000000" w:usb3="00000000" w:csb0="00000000" w:csb1="00000000"/>
  </w:font>
  <w:font w:name="DengXian">
    <w:altName w:val="汉仪中等线KW"/>
    <w:panose1 w:val="02010600030101010101"/>
    <w:charset w:val="86"/>
    <w:family w:val="auto"/>
    <w:pitch w:val="default"/>
    <w:sig w:usb0="00000000" w:usb1="00000000" w:usb2="00000016" w:usb3="00000000" w:csb0="0004000F" w:csb1="00000000"/>
  </w:font>
  <w:font w:name="DengXian">
    <w:altName w:val="汉仪中等线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704020202020204"/>
    <w:charset w:val="01"/>
    <w:family w:val="swiss"/>
    <w:pitch w:val="default"/>
    <w:sig w:usb0="E0002AFF" w:usb1="C0007843" w:usb2="00000009" w:usb3="00000000" w:csb0="400001FF" w:csb1="FFFF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331D72"/>
    <w:multiLevelType w:val="singleLevel"/>
    <w:tmpl w:val="63331D72"/>
    <w:lvl w:ilvl="0" w:tentative="0">
      <w:start w:val="2"/>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1"/>
  <w:doNotDisplayPageBoundaries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36E"/>
    <w:rsid w:val="000126B3"/>
    <w:rsid w:val="00080B8F"/>
    <w:rsid w:val="00173700"/>
    <w:rsid w:val="00261DC1"/>
    <w:rsid w:val="00275340"/>
    <w:rsid w:val="002A14CA"/>
    <w:rsid w:val="003323CA"/>
    <w:rsid w:val="003C081A"/>
    <w:rsid w:val="00454E35"/>
    <w:rsid w:val="00567BD1"/>
    <w:rsid w:val="005771D1"/>
    <w:rsid w:val="005C242C"/>
    <w:rsid w:val="00617A8E"/>
    <w:rsid w:val="00694502"/>
    <w:rsid w:val="007A58DA"/>
    <w:rsid w:val="007F7563"/>
    <w:rsid w:val="008A54C3"/>
    <w:rsid w:val="009D0990"/>
    <w:rsid w:val="00B20981"/>
    <w:rsid w:val="00BB660E"/>
    <w:rsid w:val="00BF5C9E"/>
    <w:rsid w:val="00C6536E"/>
    <w:rsid w:val="00DB6563"/>
    <w:rsid w:val="00E2186B"/>
    <w:rsid w:val="00E43740"/>
    <w:rsid w:val="00E475C6"/>
    <w:rsid w:val="00E75A39"/>
    <w:rsid w:val="00E80AA5"/>
    <w:rsid w:val="00FC0260"/>
    <w:rsid w:val="00FF23FE"/>
    <w:rsid w:val="2FEFA802"/>
    <w:rsid w:val="33EBCF89"/>
    <w:rsid w:val="3779E6A4"/>
    <w:rsid w:val="3EFF56F6"/>
    <w:rsid w:val="417C23DC"/>
    <w:rsid w:val="64FDE04F"/>
    <w:rsid w:val="7B8D18C5"/>
    <w:rsid w:val="7BF7E49E"/>
    <w:rsid w:val="7E9F5109"/>
    <w:rsid w:val="7F1B3CC7"/>
    <w:rsid w:val="9FFFCB62"/>
    <w:rsid w:val="AADF54C2"/>
    <w:rsid w:val="BB1E528C"/>
    <w:rsid w:val="BE730358"/>
    <w:rsid w:val="CF729A47"/>
    <w:rsid w:val="DFFD6A8B"/>
    <w:rsid w:val="DFFF8EA4"/>
    <w:rsid w:val="E6CD9C68"/>
    <w:rsid w:val="FA79E59C"/>
    <w:rsid w:val="FDDE5E02"/>
    <w:rsid w:val="FFD793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unhideWhenUsed/>
    <w:qFormat/>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6">
    <w:name w:val="Hyperlink"/>
    <w:basedOn w:val="5"/>
    <w:unhideWhenUsed/>
    <w:qFormat/>
    <w:uiPriority w:val="99"/>
    <w:rPr>
      <w:color w:val="0000FF"/>
      <w:u w:val="single"/>
    </w:rPr>
  </w:style>
  <w:style w:type="character" w:customStyle="1" w:styleId="8">
    <w:name w:val="页眉 字符"/>
    <w:basedOn w:val="5"/>
    <w:link w:val="3"/>
    <w:qFormat/>
    <w:uiPriority w:val="99"/>
    <w:rPr>
      <w:sz w:val="18"/>
      <w:szCs w:val="18"/>
    </w:rPr>
  </w:style>
  <w:style w:type="character" w:customStyle="1" w:styleId="9">
    <w:name w:val="页脚 字符"/>
    <w:basedOn w:val="5"/>
    <w:link w:val="2"/>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244</Words>
  <Characters>1394</Characters>
  <Lines>11</Lines>
  <Paragraphs>3</Paragraphs>
  <ScaleCrop>false</ScaleCrop>
  <LinksUpToDate>false</LinksUpToDate>
  <CharactersWithSpaces>1635</CharactersWithSpaces>
  <Application>WPS Office_3.9.1.6204_F1E327BC-269C-435d-A152-05C5408002CA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2022-09-27T21:01:00Z</dcterms:created>
  <dc:creator>hu mingxi</dc:creator>
  <cp:lastModifiedBy>shao</cp:lastModifiedBy>
  <dcterms:modified xsi:type="dcterms:W3CDTF">2022-09-28T23:44:01Z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2052-3.9.1.6204</vt:lpwstr>
  </property>
</Properties>
</file>