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5"/>
        <w:rPr>
          <w:rFonts w:ascii="Times New Roman"/>
          <w:sz w:val="20"/>
        </w:rPr>
      </w:pPr>
    </w:p>
    <w:p>
      <w:pPr>
        <w:pStyle w:val="4"/>
        <w:ind w:left="3151"/>
        <w:rPr>
          <w:rFonts w:ascii="Times New Roman"/>
          <w:sz w:val="20"/>
        </w:rPr>
      </w:pPr>
      <w:r>
        <w:rPr>
          <w:rFonts w:ascii="Times New Roman"/>
          <w:sz w:val="20"/>
        </w:rPr>
        <w:drawing>
          <wp:inline distT="0" distB="0" distL="0" distR="0">
            <wp:extent cx="3666490" cy="6096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8" cstate="print"/>
                    <a:stretch>
                      <a:fillRect/>
                    </a:stretch>
                  </pic:blipFill>
                  <pic:spPr>
                    <a:xfrm>
                      <a:off x="0" y="0"/>
                      <a:ext cx="3667088" cy="609600"/>
                    </a:xfrm>
                    <a:prstGeom prst="rect">
                      <a:avLst/>
                    </a:prstGeom>
                  </pic:spPr>
                </pic:pic>
              </a:graphicData>
            </a:graphic>
          </wp:inline>
        </w:drawing>
      </w:r>
    </w:p>
    <w:p>
      <w:pPr>
        <w:pStyle w:val="4"/>
        <w:spacing w:before="7"/>
        <w:rPr>
          <w:rFonts w:ascii="Times New Roman"/>
          <w:sz w:val="22"/>
        </w:rPr>
      </w:pPr>
      <w:r>
        <w:drawing>
          <wp:anchor distT="0" distB="0" distL="0" distR="0" simplePos="0" relativeHeight="251659264" behindDoc="0" locked="0" layoutInCell="1" allowOverlap="1">
            <wp:simplePos x="0" y="0"/>
            <wp:positionH relativeFrom="page">
              <wp:posOffset>2810510</wp:posOffset>
            </wp:positionH>
            <wp:positionV relativeFrom="paragraph">
              <wp:posOffset>189865</wp:posOffset>
            </wp:positionV>
            <wp:extent cx="2440305" cy="58801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19" cstate="print"/>
                    <a:stretch>
                      <a:fillRect/>
                    </a:stretch>
                  </pic:blipFill>
                  <pic:spPr>
                    <a:xfrm>
                      <a:off x="0" y="0"/>
                      <a:ext cx="2440123" cy="588264"/>
                    </a:xfrm>
                    <a:prstGeom prst="rect">
                      <a:avLst/>
                    </a:prstGeom>
                  </pic:spPr>
                </pic:pic>
              </a:graphicData>
            </a:graphic>
          </wp:anchor>
        </w:drawing>
      </w:r>
    </w:p>
    <w:p>
      <w:pPr>
        <w:pStyle w:val="4"/>
        <w:rPr>
          <w:rFonts w:ascii="Times New Roman"/>
          <w:sz w:val="20"/>
        </w:rPr>
      </w:pPr>
      <w:bookmarkStart w:id="43" w:name="_GoBack"/>
      <w:bookmarkEnd w:id="43"/>
    </w:p>
    <w:p>
      <w:pPr>
        <w:pStyle w:val="4"/>
        <w:rPr>
          <w:rFonts w:ascii="Times New Roman"/>
          <w:sz w:val="20"/>
        </w:rPr>
      </w:pPr>
    </w:p>
    <w:p>
      <w:pPr>
        <w:pStyle w:val="4"/>
        <w:rPr>
          <w:rFonts w:ascii="Times New Roman"/>
          <w:sz w:val="20"/>
        </w:rPr>
      </w:pPr>
    </w:p>
    <w:p>
      <w:pPr>
        <w:pStyle w:val="4"/>
        <w:spacing w:before="1"/>
        <w:rPr>
          <w:rFonts w:ascii="Times New Roman"/>
          <w:sz w:val="27"/>
        </w:rPr>
      </w:pPr>
    </w:p>
    <w:p>
      <w:pPr>
        <w:spacing w:before="54"/>
        <w:ind w:left="0" w:right="677" w:firstLine="0"/>
        <w:jc w:val="right"/>
        <w:rPr>
          <w:sz w:val="32"/>
        </w:rPr>
      </w:pPr>
      <w:r>
        <w:rPr>
          <w:w w:val="95"/>
          <w:sz w:val="32"/>
        </w:rPr>
        <w:t>2022年06月期</w:t>
      </w:r>
    </w:p>
    <w:p>
      <w:pPr>
        <w:pStyle w:val="4"/>
        <w:rPr>
          <w:sz w:val="20"/>
        </w:rPr>
      </w:pPr>
    </w:p>
    <w:p>
      <w:pPr>
        <w:pStyle w:val="4"/>
        <w:rPr>
          <w:sz w:val="20"/>
        </w:rPr>
      </w:pPr>
    </w:p>
    <w:p>
      <w:pPr>
        <w:pStyle w:val="4"/>
        <w:rPr>
          <w:sz w:val="20"/>
        </w:rPr>
      </w:pPr>
    </w:p>
    <w:p>
      <w:pPr>
        <w:pStyle w:val="4"/>
        <w:spacing w:before="10"/>
        <w:rPr>
          <w:sz w:val="13"/>
        </w:rPr>
      </w:pPr>
      <w:r>
        <w:drawing>
          <wp:anchor distT="0" distB="0" distL="0" distR="0" simplePos="0" relativeHeight="251660288" behindDoc="0" locked="0" layoutInCell="1" allowOverlap="1">
            <wp:simplePos x="0" y="0"/>
            <wp:positionH relativeFrom="page">
              <wp:posOffset>1143000</wp:posOffset>
            </wp:positionH>
            <wp:positionV relativeFrom="paragraph">
              <wp:posOffset>136525</wp:posOffset>
            </wp:positionV>
            <wp:extent cx="5253990" cy="2506345"/>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20" cstate="print"/>
                    <a:stretch>
                      <a:fillRect/>
                    </a:stretch>
                  </pic:blipFill>
                  <pic:spPr>
                    <a:xfrm>
                      <a:off x="0" y="0"/>
                      <a:ext cx="5253953" cy="2506599"/>
                    </a:xfrm>
                    <a:prstGeom prst="rect">
                      <a:avLst/>
                    </a:prstGeom>
                  </pic:spPr>
                </pic:pic>
              </a:graphicData>
            </a:graphic>
          </wp:anchor>
        </w:drawing>
      </w:r>
    </w:p>
    <w:p>
      <w:pPr>
        <w:pStyle w:val="4"/>
        <w:rPr>
          <w:sz w:val="32"/>
        </w:rPr>
      </w:pPr>
    </w:p>
    <w:p>
      <w:pPr>
        <w:pStyle w:val="4"/>
        <w:rPr>
          <w:sz w:val="32"/>
        </w:rPr>
      </w:pPr>
    </w:p>
    <w:p>
      <w:pPr>
        <w:pStyle w:val="4"/>
        <w:rPr>
          <w:sz w:val="32"/>
        </w:rPr>
      </w:pPr>
    </w:p>
    <w:p>
      <w:pPr>
        <w:pStyle w:val="4"/>
        <w:spacing w:before="9"/>
        <w:rPr>
          <w:sz w:val="23"/>
        </w:rPr>
      </w:pPr>
    </w:p>
    <w:p>
      <w:pPr>
        <w:spacing w:before="0" w:line="367" w:lineRule="auto"/>
        <w:ind w:left="2172" w:right="2313" w:hanging="336"/>
        <w:jc w:val="left"/>
        <w:rPr>
          <w:sz w:val="32"/>
        </w:rPr>
      </w:pPr>
      <w:r>
        <w:rPr>
          <w:sz w:val="32"/>
        </w:rPr>
        <w:t>本资讯为内部交流·由深圳市律师协会企业破产清算法律专业委员会编写</w:t>
      </w:r>
    </w:p>
    <w:p>
      <w:pPr>
        <w:spacing w:after="0" w:line="367" w:lineRule="auto"/>
        <w:jc w:val="left"/>
        <w:rPr>
          <w:sz w:val="32"/>
        </w:rPr>
        <w:sectPr>
          <w:headerReference r:id="rId5" w:type="default"/>
          <w:footerReference r:id="rId6" w:type="default"/>
          <w:type w:val="continuous"/>
          <w:pgSz w:w="11910" w:h="16840"/>
          <w:pgMar w:top="1600" w:right="1060" w:bottom="980" w:left="1260" w:header="1148" w:footer="793" w:gutter="0"/>
          <w:pgNumType w:fmt="decimal"/>
          <w:cols w:space="720" w:num="1"/>
        </w:sectPr>
      </w:pPr>
    </w:p>
    <w:p>
      <w:pPr>
        <w:pStyle w:val="4"/>
        <w:tabs>
          <w:tab w:val="left" w:pos="705"/>
        </w:tabs>
        <w:spacing w:before="2"/>
        <w:rPr>
          <w:rFonts w:hint="eastAsia" w:eastAsia="仿宋"/>
          <w:sz w:val="11"/>
          <w:lang w:eastAsia="zh-CN"/>
        </w:rPr>
      </w:pPr>
      <w:r>
        <w:rPr>
          <w:rFonts w:hint="eastAsia"/>
          <w:sz w:val="11"/>
          <w:lang w:eastAsia="zh-CN"/>
        </w:rPr>
        <w:tab/>
      </w:r>
    </w:p>
    <w:p>
      <w:pPr>
        <w:pStyle w:val="3"/>
        <w:spacing w:before="62"/>
        <w:ind w:left="0" w:firstLine="562" w:firstLineChars="200"/>
        <w:rPr>
          <w:lang w:val="en-US"/>
        </w:rPr>
      </w:pPr>
      <w:r>
        <w:rPr>
          <w:rFonts w:hint="eastAsia"/>
        </w:rPr>
        <w:t>*</w:t>
      </w:r>
      <w:r>
        <w:t>**</w:t>
      </w:r>
      <w:r>
        <w:rPr>
          <w:rFonts w:hint="eastAsia"/>
          <w:lang w:val="en-US"/>
        </w:rPr>
        <w:t>侵权联系深圳市律师协会业务部删除*</w:t>
      </w:r>
      <w:r>
        <w:rPr>
          <w:lang w:val="en-US"/>
        </w:rPr>
        <w:t>**</w:t>
      </w:r>
    </w:p>
    <w:p/>
    <w:p>
      <w:pPr>
        <w:spacing w:before="67"/>
        <w:ind w:left="698" w:right="0" w:firstLine="0"/>
        <w:jc w:val="left"/>
        <w:rPr>
          <w:b/>
          <w:sz w:val="24"/>
        </w:rPr>
      </w:pPr>
    </w:p>
    <w:p>
      <w:pPr>
        <w:spacing w:before="67"/>
        <w:ind w:left="698" w:right="0" w:firstLine="0"/>
        <w:jc w:val="left"/>
        <w:rPr>
          <w:b/>
          <w:sz w:val="24"/>
        </w:rPr>
      </w:pPr>
      <w:r>
        <w:rPr>
          <w:b/>
          <w:sz w:val="24"/>
        </w:rPr>
        <w:t>目录</w:t>
      </w:r>
    </w:p>
    <w:p>
      <w:pPr>
        <w:pStyle w:val="8"/>
        <w:numPr>
          <w:ilvl w:val="0"/>
          <w:numId w:val="1"/>
        </w:numPr>
        <w:tabs>
          <w:tab w:val="left" w:pos="1016"/>
          <w:tab w:val="left" w:leader="dot" w:pos="8836"/>
        </w:tabs>
        <w:spacing w:before="572" w:after="0" w:line="240" w:lineRule="auto"/>
        <w:ind w:left="1015" w:right="0" w:hanging="320"/>
        <w:jc w:val="left"/>
        <w:rPr>
          <w:sz w:val="21"/>
        </w:rPr>
      </w:pPr>
      <w:r>
        <w:rPr>
          <w:sz w:val="21"/>
        </w:rPr>
        <w:t>绍兴市中级人民法院发布企业破产审判十五周年白皮书及典型案例</w:t>
      </w:r>
      <w:r>
        <w:rPr>
          <w:sz w:val="21"/>
        </w:rPr>
        <w:tab/>
      </w:r>
      <w:r>
        <w:rPr>
          <w:sz w:val="21"/>
        </w:rPr>
        <w:t>3</w:t>
      </w:r>
    </w:p>
    <w:p>
      <w:pPr>
        <w:pStyle w:val="8"/>
        <w:numPr>
          <w:ilvl w:val="0"/>
          <w:numId w:val="1"/>
        </w:numPr>
        <w:tabs>
          <w:tab w:val="left" w:pos="1016"/>
          <w:tab w:val="left" w:leader="dot" w:pos="8783"/>
        </w:tabs>
        <w:spacing w:before="595" w:after="0" w:line="240" w:lineRule="auto"/>
        <w:ind w:left="1015" w:right="0" w:hanging="320"/>
        <w:jc w:val="left"/>
        <w:rPr>
          <w:sz w:val="21"/>
        </w:rPr>
      </w:pPr>
      <w:r>
        <w:rPr>
          <w:sz w:val="21"/>
        </w:rPr>
        <w:t>【域外】冯珈轩（整理）：强生破产案：用巧计“金蝉脱壳”为何被批无法无天？</w:t>
      </w:r>
      <w:r>
        <w:rPr>
          <w:sz w:val="21"/>
        </w:rPr>
        <w:tab/>
      </w:r>
      <w:r>
        <w:rPr>
          <w:sz w:val="21"/>
        </w:rPr>
        <w:t>10</w:t>
      </w:r>
    </w:p>
    <w:p>
      <w:pPr>
        <w:pStyle w:val="8"/>
        <w:numPr>
          <w:ilvl w:val="0"/>
          <w:numId w:val="1"/>
        </w:numPr>
        <w:tabs>
          <w:tab w:val="left" w:pos="1016"/>
          <w:tab w:val="left" w:leader="dot" w:pos="8783"/>
        </w:tabs>
        <w:spacing w:before="595" w:after="0" w:line="364" w:lineRule="auto"/>
        <w:ind w:left="1015" w:right="593" w:hanging="320"/>
        <w:jc w:val="left"/>
        <w:rPr>
          <w:sz w:val="21"/>
        </w:rPr>
      </w:pPr>
      <w:r>
        <w:rPr>
          <w:w w:val="95"/>
          <w:sz w:val="21"/>
        </w:rPr>
        <w:t xml:space="preserve">上海破产法庭出台《关于规范破产案件接管工作办法》《关于规范债务人对外股权投资  </w:t>
      </w:r>
      <w:r>
        <w:rPr>
          <w:sz w:val="21"/>
        </w:rPr>
        <w:t>处置工作办法（试行）》</w:t>
      </w:r>
      <w:r>
        <w:rPr>
          <w:sz w:val="21"/>
        </w:rPr>
        <w:tab/>
      </w:r>
      <w:r>
        <w:rPr>
          <w:spacing w:val="-8"/>
          <w:sz w:val="21"/>
        </w:rPr>
        <w:t>20</w:t>
      </w:r>
    </w:p>
    <w:p>
      <w:pPr>
        <w:pStyle w:val="8"/>
        <w:numPr>
          <w:ilvl w:val="0"/>
          <w:numId w:val="1"/>
        </w:numPr>
        <w:tabs>
          <w:tab w:val="left" w:pos="1016"/>
        </w:tabs>
        <w:spacing w:before="590" w:after="0" w:line="240" w:lineRule="auto"/>
        <w:ind w:left="1015" w:right="0" w:hanging="320"/>
        <w:jc w:val="left"/>
        <w:rPr>
          <w:sz w:val="21"/>
        </w:rPr>
      </w:pPr>
      <w:r>
        <w:rPr>
          <w:spacing w:val="-2"/>
          <w:sz w:val="21"/>
        </w:rPr>
        <w:t>北京破产法庭发布 “十问十答” 解读《北京破产法庭中小微企业快速重整工作办法</w:t>
      </w:r>
    </w:p>
    <w:p>
      <w:pPr>
        <w:tabs>
          <w:tab w:val="left" w:leader="dot" w:pos="7768"/>
        </w:tabs>
        <w:spacing w:before="139"/>
        <w:ind w:left="0" w:right="593" w:firstLine="0"/>
        <w:jc w:val="right"/>
        <w:rPr>
          <w:sz w:val="21"/>
        </w:rPr>
      </w:pPr>
      <w:r>
        <w:rPr>
          <w:sz w:val="21"/>
        </w:rPr>
        <w:t>（试行）》</w:t>
      </w:r>
      <w:r>
        <w:rPr>
          <w:sz w:val="21"/>
        </w:rPr>
        <w:tab/>
      </w:r>
      <w:r>
        <w:rPr>
          <w:w w:val="95"/>
          <w:sz w:val="21"/>
        </w:rPr>
        <w:t>35</w:t>
      </w:r>
    </w:p>
    <w:p>
      <w:pPr>
        <w:pStyle w:val="8"/>
        <w:numPr>
          <w:ilvl w:val="0"/>
          <w:numId w:val="1"/>
        </w:numPr>
        <w:tabs>
          <w:tab w:val="left" w:pos="1016"/>
          <w:tab w:val="left" w:leader="dot" w:pos="8087"/>
        </w:tabs>
        <w:spacing w:before="730" w:after="0" w:line="240" w:lineRule="auto"/>
        <w:ind w:left="1015" w:right="593" w:hanging="1016"/>
        <w:jc w:val="right"/>
        <w:rPr>
          <w:sz w:val="21"/>
        </w:rPr>
      </w:pPr>
      <w:r>
        <w:rPr>
          <w:sz w:val="21"/>
        </w:rPr>
        <w:t>株洲市中级人民法院发布《破产案件预重整工作指引（试行）》</w:t>
      </w:r>
      <w:r>
        <w:rPr>
          <w:sz w:val="21"/>
        </w:rPr>
        <w:tab/>
      </w:r>
      <w:r>
        <w:rPr>
          <w:w w:val="95"/>
          <w:sz w:val="21"/>
        </w:rPr>
        <w:t>42</w:t>
      </w:r>
    </w:p>
    <w:p>
      <w:pPr>
        <w:pStyle w:val="8"/>
        <w:numPr>
          <w:ilvl w:val="0"/>
          <w:numId w:val="1"/>
        </w:numPr>
        <w:tabs>
          <w:tab w:val="left" w:pos="1016"/>
          <w:tab w:val="left" w:leader="dot" w:pos="8087"/>
        </w:tabs>
        <w:spacing w:before="597" w:after="0" w:line="240" w:lineRule="auto"/>
        <w:ind w:left="1015" w:right="593" w:hanging="1016"/>
        <w:jc w:val="right"/>
        <w:rPr>
          <w:sz w:val="21"/>
        </w:rPr>
      </w:pPr>
      <w:r>
        <w:rPr>
          <w:sz w:val="21"/>
        </w:rPr>
        <w:t>宜宾市中级人民法院发布《个人债务集中清理审理规程（试行）》</w:t>
      </w:r>
      <w:r>
        <w:rPr>
          <w:sz w:val="21"/>
        </w:rPr>
        <w:tab/>
      </w:r>
      <w:r>
        <w:rPr>
          <w:w w:val="95"/>
          <w:sz w:val="21"/>
        </w:rPr>
        <w:t>55</w:t>
      </w:r>
    </w:p>
    <w:p>
      <w:pPr>
        <w:pStyle w:val="8"/>
        <w:numPr>
          <w:ilvl w:val="0"/>
          <w:numId w:val="1"/>
        </w:numPr>
        <w:tabs>
          <w:tab w:val="left" w:pos="1016"/>
          <w:tab w:val="left" w:leader="dot" w:pos="8783"/>
        </w:tabs>
        <w:spacing w:before="595" w:after="0" w:line="240" w:lineRule="auto"/>
        <w:ind w:left="1015" w:right="0" w:hanging="320"/>
        <w:jc w:val="left"/>
        <w:rPr>
          <w:sz w:val="21"/>
        </w:rPr>
      </w:pPr>
      <w:r>
        <w:rPr>
          <w:sz w:val="21"/>
        </w:rPr>
        <w:t>十堰市中级人民法院出台《十堰市破产重整、和解企业信用修复办法》</w:t>
      </w:r>
      <w:r>
        <w:rPr>
          <w:sz w:val="21"/>
        </w:rPr>
        <w:tab/>
      </w:r>
      <w:r>
        <w:rPr>
          <w:sz w:val="21"/>
        </w:rPr>
        <w:t>59</w:t>
      </w:r>
    </w:p>
    <w:p>
      <w:pPr>
        <w:pStyle w:val="8"/>
        <w:numPr>
          <w:ilvl w:val="0"/>
          <w:numId w:val="1"/>
        </w:numPr>
        <w:tabs>
          <w:tab w:val="left" w:pos="1016"/>
          <w:tab w:val="left" w:leader="dot" w:pos="8087"/>
        </w:tabs>
        <w:spacing w:before="597" w:after="0" w:line="240" w:lineRule="auto"/>
        <w:ind w:left="1015" w:right="593" w:hanging="1016"/>
        <w:jc w:val="right"/>
        <w:rPr>
          <w:sz w:val="21"/>
        </w:rPr>
      </w:pPr>
      <w:r>
        <w:rPr>
          <w:sz w:val="21"/>
        </w:rPr>
        <w:t>*ST方科被债权人申请重整，已公告专项自查报告</w:t>
      </w:r>
      <w:r>
        <w:rPr>
          <w:sz w:val="21"/>
        </w:rPr>
        <w:tab/>
      </w:r>
      <w:r>
        <w:rPr>
          <w:w w:val="95"/>
          <w:sz w:val="21"/>
        </w:rPr>
        <w:t>64</w:t>
      </w:r>
    </w:p>
    <w:p>
      <w:pPr>
        <w:pStyle w:val="8"/>
        <w:numPr>
          <w:ilvl w:val="0"/>
          <w:numId w:val="1"/>
        </w:numPr>
        <w:tabs>
          <w:tab w:val="left" w:pos="1016"/>
          <w:tab w:val="left" w:leader="dot" w:pos="8087"/>
        </w:tabs>
        <w:spacing w:before="593" w:after="0" w:line="240" w:lineRule="auto"/>
        <w:ind w:left="1015" w:right="593" w:hanging="1016"/>
        <w:jc w:val="right"/>
        <w:rPr>
          <w:sz w:val="21"/>
        </w:rPr>
      </w:pPr>
      <w:r>
        <w:rPr>
          <w:sz w:val="21"/>
        </w:rPr>
        <w:t>李曙光：个人破产立法的中国特色</w:t>
      </w:r>
      <w:r>
        <w:rPr>
          <w:sz w:val="21"/>
        </w:rPr>
        <w:tab/>
      </w:r>
      <w:r>
        <w:rPr>
          <w:w w:val="95"/>
          <w:sz w:val="21"/>
        </w:rPr>
        <w:t>65</w:t>
      </w:r>
    </w:p>
    <w:p>
      <w:pPr>
        <w:pStyle w:val="8"/>
        <w:numPr>
          <w:ilvl w:val="0"/>
          <w:numId w:val="1"/>
        </w:numPr>
        <w:tabs>
          <w:tab w:val="left" w:pos="1016"/>
          <w:tab w:val="left" w:leader="dot" w:pos="8783"/>
        </w:tabs>
        <w:spacing w:before="595" w:after="0" w:line="240" w:lineRule="auto"/>
        <w:ind w:left="1015" w:right="0" w:hanging="320"/>
        <w:jc w:val="left"/>
        <w:rPr>
          <w:sz w:val="21"/>
        </w:rPr>
      </w:pPr>
      <w:r>
        <w:rPr>
          <w:sz w:val="21"/>
        </w:rPr>
        <w:t>深圳市破产管理人协会关于建立“破产融资信息平台”投资人名册的公告</w:t>
      </w:r>
      <w:r>
        <w:rPr>
          <w:sz w:val="21"/>
        </w:rPr>
        <w:tab/>
      </w:r>
      <w:r>
        <w:rPr>
          <w:sz w:val="21"/>
        </w:rPr>
        <w:t>70</w:t>
      </w:r>
    </w:p>
    <w:p>
      <w:pPr>
        <w:pStyle w:val="8"/>
        <w:numPr>
          <w:ilvl w:val="0"/>
          <w:numId w:val="1"/>
        </w:numPr>
        <w:tabs>
          <w:tab w:val="left" w:pos="1016"/>
          <w:tab w:val="left" w:leader="dot" w:pos="8783"/>
        </w:tabs>
        <w:spacing w:before="597" w:after="0" w:line="364" w:lineRule="auto"/>
        <w:ind w:left="1015" w:right="593" w:hanging="320"/>
        <w:jc w:val="left"/>
        <w:rPr>
          <w:sz w:val="21"/>
        </w:rPr>
        <w:sectPr>
          <w:footerReference r:id="rId7" w:type="default"/>
          <w:pgSz w:w="11910" w:h="16840"/>
          <w:pgMar w:top="1600" w:right="1060" w:bottom="1180" w:left="1260" w:header="1148" w:footer="997" w:gutter="0"/>
          <w:pgNumType w:fmt="decimal"/>
          <w:cols w:space="720" w:num="1"/>
        </w:sectPr>
      </w:pPr>
      <w:r>
        <w:rPr>
          <w:w w:val="95"/>
          <w:sz w:val="21"/>
        </w:rPr>
        <w:t>深圳市中级人民法院审理的某电商公司破产和解案入选广东法院助力中小微企业发展典</w:t>
      </w:r>
      <w:r>
        <w:rPr>
          <w:sz w:val="21"/>
        </w:rPr>
        <w:t>型案例</w:t>
      </w:r>
      <w:r>
        <w:rPr>
          <w:sz w:val="21"/>
        </w:rPr>
        <w:tab/>
      </w:r>
      <w:r>
        <w:rPr>
          <w:spacing w:val="-8"/>
          <w:sz w:val="21"/>
        </w:rPr>
        <w:t>73</w:t>
      </w:r>
    </w:p>
    <w:p>
      <w:pPr>
        <w:pStyle w:val="4"/>
        <w:spacing w:before="7"/>
        <w:rPr>
          <w:sz w:val="36"/>
        </w:rPr>
      </w:pPr>
    </w:p>
    <w:p>
      <w:pPr>
        <w:spacing w:before="0" w:line="405" w:lineRule="auto"/>
        <w:ind w:left="780" w:right="652" w:hanging="560"/>
        <w:jc w:val="left"/>
        <w:rPr>
          <w:sz w:val="28"/>
        </w:rPr>
      </w:pPr>
      <w:r>
        <w:rPr>
          <w:b/>
          <w:spacing w:val="-1"/>
          <w:w w:val="95"/>
          <w:sz w:val="28"/>
        </w:rPr>
        <w:t xml:space="preserve">一、绍兴市中级人民法院发布企业破产审判十五周年白皮书及典型案例  </w:t>
      </w:r>
      <w:bookmarkStart w:id="0" w:name="浙江省破产管理人协会 2022-06-02 15:04 发表于浙江"/>
      <w:bookmarkEnd w:id="0"/>
      <w:r>
        <w:rPr>
          <w:color w:val="202020"/>
          <w:spacing w:val="-3"/>
          <w:sz w:val="28"/>
        </w:rPr>
        <w:t xml:space="preserve">浙江省破产管理人协会 </w:t>
      </w:r>
      <w:r>
        <w:rPr>
          <w:color w:val="202020"/>
          <w:sz w:val="28"/>
        </w:rPr>
        <w:t>2022-06-02 15:04</w:t>
      </w:r>
      <w:r>
        <w:rPr>
          <w:color w:val="202020"/>
          <w:spacing w:val="-1"/>
          <w:sz w:val="28"/>
        </w:rPr>
        <w:t xml:space="preserve"> 发表于浙江</w:t>
      </w:r>
    </w:p>
    <w:p>
      <w:pPr>
        <w:pStyle w:val="4"/>
      </w:pPr>
    </w:p>
    <w:p>
      <w:pPr>
        <w:pStyle w:val="4"/>
        <w:spacing w:before="248" w:line="364" w:lineRule="auto"/>
        <w:ind w:left="220" w:right="686" w:firstLine="559"/>
        <w:jc w:val="both"/>
      </w:pPr>
      <w:bookmarkStart w:id="1" w:name="为进一步发挥企业破产审判优势，生动展现绍兴法院在拯救危困企业、促进优胜劣汰、化解"/>
      <w:bookmarkEnd w:id="1"/>
      <w:r>
        <w:rPr>
          <w:color w:val="202020"/>
        </w:rPr>
        <w:t>为进一步发挥企业破产审判优势，生动展现绍兴法院在拯救危困企业、促进优胜劣汰、化解过剩产能、优化资源配置、助力营商环境提升中发挥的重要作用，总结提炼全市法院在企业破产审判工作中的创新经验和亮点做法，绍兴中院现发布“绍兴法院企业破产审判十五周年典型案例”。</w:t>
      </w:r>
    </w:p>
    <w:p>
      <w:pPr>
        <w:pStyle w:val="4"/>
        <w:spacing w:before="58" w:line="364" w:lineRule="auto"/>
        <w:ind w:left="220" w:right="686" w:firstLine="559"/>
        <w:jc w:val="both"/>
      </w:pPr>
      <w:bookmarkStart w:id="2" w:name="绍兴法院要坚持以习近平新时代中国特色社会主义思想为指导，贯彻落实习近平法治思想，"/>
      <w:bookmarkEnd w:id="2"/>
      <w:r>
        <w:rPr>
          <w:color w:val="202020"/>
        </w:rPr>
        <w:t>绍兴法院要坚持以习近平新时代中国特色社会主义思想为指导，贯彻落实习近平法治思想，按照市第九次党代会精神，进一步充分发挥破产审判在实现“五个率先”中的重要作用，久久为功，善作善成，努力为绍兴加快建设现代化网络大城市、全力打造新时代共同富裕地，率先走出争创社会主义现代化先行省市域发展之路，提供更加优质高效的司法服务和保障。</w:t>
      </w:r>
    </w:p>
    <w:p>
      <w:pPr>
        <w:pStyle w:val="4"/>
        <w:spacing w:before="12"/>
        <w:rPr>
          <w:sz w:val="26"/>
        </w:rPr>
      </w:pPr>
    </w:p>
    <w:p>
      <w:pPr>
        <w:spacing w:before="0" w:line="364" w:lineRule="auto"/>
        <w:ind w:left="2795" w:right="2999" w:firstLine="0"/>
        <w:jc w:val="center"/>
        <w:rPr>
          <w:b/>
          <w:sz w:val="27"/>
        </w:rPr>
      </w:pPr>
      <w:r>
        <w:rPr>
          <w:b/>
          <w:sz w:val="27"/>
        </w:rPr>
        <w:t>绍兴法院企业破产审判十五周年典型案例</w:t>
      </w:r>
    </w:p>
    <w:p>
      <w:pPr>
        <w:pStyle w:val="4"/>
        <w:spacing w:before="5"/>
        <w:rPr>
          <w:b/>
          <w:sz w:val="36"/>
        </w:rPr>
      </w:pPr>
    </w:p>
    <w:p>
      <w:pPr>
        <w:spacing w:before="0"/>
        <w:ind w:left="2795" w:right="2994" w:firstLine="0"/>
        <w:jc w:val="center"/>
        <w:rPr>
          <w:b/>
          <w:sz w:val="24"/>
        </w:rPr>
      </w:pPr>
      <w:r>
        <w:rPr>
          <w:b/>
          <w:sz w:val="24"/>
        </w:rPr>
        <w:t>目录</w:t>
      </w:r>
    </w:p>
    <w:p>
      <w:pPr>
        <w:pStyle w:val="4"/>
        <w:rPr>
          <w:b/>
          <w:sz w:val="24"/>
        </w:rPr>
      </w:pPr>
    </w:p>
    <w:p>
      <w:pPr>
        <w:pStyle w:val="4"/>
        <w:spacing w:before="11"/>
        <w:rPr>
          <w:b/>
          <w:sz w:val="24"/>
        </w:rPr>
      </w:pPr>
    </w:p>
    <w:p>
      <w:pPr>
        <w:spacing w:before="0"/>
        <w:ind w:left="640" w:right="0" w:firstLine="0"/>
        <w:jc w:val="left"/>
        <w:rPr>
          <w:sz w:val="24"/>
        </w:rPr>
      </w:pPr>
      <w:r>
        <w:rPr>
          <w:sz w:val="24"/>
        </w:rPr>
        <w:t>一、纵横集团等六公司合并重整案</w:t>
      </w:r>
    </w:p>
    <w:p>
      <w:pPr>
        <w:spacing w:before="160"/>
        <w:ind w:left="640" w:right="0" w:firstLine="0"/>
        <w:jc w:val="left"/>
        <w:rPr>
          <w:sz w:val="24"/>
        </w:rPr>
      </w:pPr>
      <w:r>
        <w:rPr>
          <w:sz w:val="24"/>
        </w:rPr>
        <w:t>二、浙江玻璃股份有限公司及其关联公司破产案</w:t>
      </w:r>
    </w:p>
    <w:p>
      <w:pPr>
        <w:spacing w:before="159" w:line="364" w:lineRule="auto"/>
        <w:ind w:left="640" w:right="2947" w:firstLine="0"/>
        <w:jc w:val="left"/>
        <w:rPr>
          <w:sz w:val="24"/>
        </w:rPr>
      </w:pPr>
      <w:r>
        <w:rPr>
          <w:spacing w:val="-1"/>
          <w:sz w:val="24"/>
        </w:rPr>
        <w:t>三、浙江金盾控股集团有限公司等八公司合并破产重整案</w:t>
      </w:r>
      <w:r>
        <w:rPr>
          <w:sz w:val="24"/>
        </w:rPr>
        <w:t>四、浙江南方石化工业有限公司等三家公司破产清算案 五、嵊州市第三羊毛衫厂破产清算案</w:t>
      </w:r>
    </w:p>
    <w:p>
      <w:pPr>
        <w:spacing w:after="0" w:line="364" w:lineRule="auto"/>
        <w:jc w:val="left"/>
        <w:rPr>
          <w:sz w:val="24"/>
        </w:rPr>
        <w:sectPr>
          <w:footerReference r:id="rId8" w:type="default"/>
          <w:pgSz w:w="11910" w:h="16840"/>
          <w:pgMar w:top="1600" w:right="1060" w:bottom="980" w:left="1260" w:header="1148" w:footer="793" w:gutter="0"/>
          <w:pgNumType w:fmt="decimal" w:start="3"/>
          <w:cols w:space="720" w:num="1"/>
        </w:sectPr>
      </w:pPr>
    </w:p>
    <w:p>
      <w:pPr>
        <w:spacing w:before="56" w:line="364" w:lineRule="auto"/>
        <w:ind w:left="640" w:right="4387" w:firstLine="0"/>
        <w:jc w:val="left"/>
        <w:rPr>
          <w:sz w:val="24"/>
        </w:rPr>
      </w:pPr>
      <w:r>
        <w:rPr>
          <w:spacing w:val="-1"/>
          <w:sz w:val="24"/>
        </w:rPr>
        <w:t>六、新昌县金利房地产有限公司破产和解案</w:t>
      </w:r>
      <w:r>
        <w:rPr>
          <w:sz w:val="24"/>
        </w:rPr>
        <w:t>七、浙江友谊特种钢有限公司破产重整案 八、诸暨市浩英纺织有限公司破产清算案 九、浙江华夏置业有限公司破产重整案</w:t>
      </w:r>
    </w:p>
    <w:p>
      <w:pPr>
        <w:spacing w:before="0" w:line="364" w:lineRule="auto"/>
        <w:ind w:left="640" w:right="787" w:firstLine="0"/>
        <w:jc w:val="left"/>
        <w:rPr>
          <w:sz w:val="24"/>
        </w:rPr>
      </w:pPr>
      <w:r>
        <w:rPr>
          <w:sz w:val="24"/>
        </w:rPr>
        <w:t xml:space="preserve">十、浙江中轻房地产开发有限公司及绍兴汇金酒店有限公司合并破产清算案 </w:t>
      </w:r>
      <w:r>
        <w:rPr>
          <w:spacing w:val="-1"/>
          <w:sz w:val="24"/>
        </w:rPr>
        <w:t>十一、浙江八达置业有限公司、诸暨八达旺庄置业有限公司破产重整转清算案</w:t>
      </w:r>
      <w:r>
        <w:rPr>
          <w:sz w:val="24"/>
        </w:rPr>
        <w:t>十二、中厦建设集团有限公司破产清算转重整案</w:t>
      </w:r>
    </w:p>
    <w:p>
      <w:pPr>
        <w:spacing w:before="0" w:line="362" w:lineRule="auto"/>
        <w:ind w:left="640" w:right="2947" w:firstLine="0"/>
        <w:jc w:val="left"/>
        <w:rPr>
          <w:sz w:val="24"/>
        </w:rPr>
      </w:pPr>
      <w:r>
        <w:rPr>
          <w:sz w:val="24"/>
        </w:rPr>
        <w:t>十三、浙江越美国际轻纺商贸城有限公司预重整转重整案十四、绍兴市金丰印染有限公司破产清算转重整案</w:t>
      </w:r>
    </w:p>
    <w:p>
      <w:pPr>
        <w:spacing w:before="0"/>
        <w:ind w:left="640" w:right="0" w:firstLine="0"/>
        <w:jc w:val="left"/>
        <w:rPr>
          <w:sz w:val="24"/>
        </w:rPr>
      </w:pPr>
      <w:r>
        <w:rPr>
          <w:sz w:val="24"/>
        </w:rPr>
        <w:t>十五、五洋建设集团股份有限公司破产重整案</w:t>
      </w:r>
    </w:p>
    <w:p>
      <w:pPr>
        <w:pStyle w:val="4"/>
        <w:rPr>
          <w:sz w:val="24"/>
        </w:rPr>
      </w:pPr>
    </w:p>
    <w:p>
      <w:pPr>
        <w:pStyle w:val="4"/>
        <w:spacing w:before="1" w:line="360" w:lineRule="auto"/>
        <w:rPr>
          <w:sz w:val="25"/>
        </w:rPr>
      </w:pPr>
    </w:p>
    <w:p>
      <w:pPr>
        <w:pStyle w:val="4"/>
        <w:spacing w:line="360" w:lineRule="auto"/>
        <w:ind w:left="640"/>
        <w:rPr>
          <w:color w:val="202020"/>
        </w:rPr>
      </w:pPr>
      <w:r>
        <w:rPr>
          <w:color w:val="202020"/>
        </w:rPr>
        <w:t>来源：浙江省破产管理人协会公众号</w:t>
      </w:r>
    </w:p>
    <w:p>
      <w:pPr>
        <w:pStyle w:val="4"/>
        <w:spacing w:line="360" w:lineRule="auto"/>
        <w:ind w:left="640"/>
        <w:rPr>
          <w:color w:val="202020"/>
        </w:rPr>
      </w:pPr>
      <w:r>
        <w:rPr>
          <w:rFonts w:hint="eastAsia"/>
          <w:color w:val="202020"/>
        </w:rPr>
        <w:t>https://mp.weixin.qq.com/s/wx4Gj9foBT-R5Vk_4z7KlQ</w:t>
      </w:r>
    </w:p>
    <w:p>
      <w:pPr>
        <w:spacing w:after="0" w:line="360" w:lineRule="auto"/>
        <w:sectPr>
          <w:pgSz w:w="11910" w:h="16840"/>
          <w:pgMar w:top="1600" w:right="1060" w:bottom="980" w:left="1260" w:header="1148" w:footer="793" w:gutter="0"/>
          <w:pgNumType w:fmt="decimal"/>
          <w:cols w:space="720" w:num="1"/>
        </w:sectPr>
      </w:pPr>
    </w:p>
    <w:p>
      <w:pPr>
        <w:pStyle w:val="4"/>
        <w:rPr>
          <w:sz w:val="20"/>
        </w:rPr>
      </w:pPr>
    </w:p>
    <w:p>
      <w:pPr>
        <w:pStyle w:val="4"/>
        <w:spacing w:before="10"/>
        <w:rPr>
          <w:sz w:val="27"/>
        </w:rPr>
      </w:pPr>
    </w:p>
    <w:p>
      <w:pPr>
        <w:pStyle w:val="3"/>
        <w:spacing w:before="61" w:line="364" w:lineRule="auto"/>
        <w:ind w:left="540" w:right="616"/>
      </w:pPr>
      <w:bookmarkStart w:id="3" w:name="二、【域外】冯珈轩（整理）：强生破产案：用巧计“金蝉脱壳”为何被批无法无天？"/>
      <w:bookmarkEnd w:id="3"/>
      <w:r>
        <w:rPr>
          <w:color w:val="202020"/>
          <w:spacing w:val="-1"/>
          <w:w w:val="95"/>
        </w:rPr>
        <w:t>二、【域外】冯珈轩</w:t>
      </w:r>
      <w:r>
        <w:rPr>
          <w:color w:val="202020"/>
          <w:w w:val="95"/>
        </w:rPr>
        <w:t xml:space="preserve">（整理）：强生破产案：用巧计“金蝉脱壳”为  </w:t>
      </w:r>
      <w:r>
        <w:rPr>
          <w:color w:val="202020"/>
        </w:rPr>
        <w:t>何被批无法无天？</w:t>
      </w:r>
    </w:p>
    <w:p>
      <w:pPr>
        <w:pStyle w:val="4"/>
        <w:spacing w:before="5"/>
        <w:rPr>
          <w:b/>
          <w:sz w:val="37"/>
        </w:rPr>
      </w:pPr>
    </w:p>
    <w:p>
      <w:pPr>
        <w:pStyle w:val="4"/>
        <w:ind w:left="1132"/>
      </w:pPr>
      <w:r>
        <w:rPr>
          <w:color w:val="202020"/>
        </w:rPr>
        <w:t>原创冯珈轩（整理）破产法快讯 2022-06-06 09:40 发表于北京</w:t>
      </w:r>
    </w:p>
    <w:p>
      <w:pPr>
        <w:pStyle w:val="4"/>
        <w:rPr>
          <w:sz w:val="20"/>
        </w:rPr>
      </w:pPr>
    </w:p>
    <w:p>
      <w:pPr>
        <w:pStyle w:val="4"/>
        <w:spacing w:before="6"/>
        <w:rPr>
          <w:sz w:val="24"/>
        </w:rPr>
      </w:pPr>
      <w:r>
        <w:drawing>
          <wp:anchor distT="0" distB="0" distL="0" distR="0" simplePos="0" relativeHeight="251660288" behindDoc="0" locked="0" layoutInCell="1" allowOverlap="1">
            <wp:simplePos x="0" y="0"/>
            <wp:positionH relativeFrom="page">
              <wp:posOffset>939800</wp:posOffset>
            </wp:positionH>
            <wp:positionV relativeFrom="paragraph">
              <wp:posOffset>224155</wp:posOffset>
            </wp:positionV>
            <wp:extent cx="5680075" cy="3177540"/>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21" cstate="print"/>
                    <a:stretch>
                      <a:fillRect/>
                    </a:stretch>
                  </pic:blipFill>
                  <pic:spPr>
                    <a:xfrm>
                      <a:off x="0" y="0"/>
                      <a:ext cx="5679947" cy="3177540"/>
                    </a:xfrm>
                    <a:prstGeom prst="rect">
                      <a:avLst/>
                    </a:prstGeom>
                  </pic:spPr>
                </pic:pic>
              </a:graphicData>
            </a:graphic>
          </wp:anchor>
        </w:drawing>
      </w:r>
    </w:p>
    <w:p>
      <w:pPr>
        <w:pStyle w:val="4"/>
        <w:rPr>
          <w:sz w:val="20"/>
        </w:rPr>
      </w:pPr>
    </w:p>
    <w:p>
      <w:pPr>
        <w:pStyle w:val="4"/>
        <w:rPr>
          <w:sz w:val="15"/>
        </w:rPr>
      </w:pPr>
    </w:p>
    <w:p>
      <w:pPr>
        <w:pStyle w:val="4"/>
        <w:spacing w:before="62" w:line="422" w:lineRule="auto"/>
        <w:ind w:left="540" w:right="751" w:firstLine="592"/>
        <w:jc w:val="both"/>
      </w:pPr>
      <w:r>
        <w:rPr>
          <w:color w:val="202020"/>
        </w:rPr>
        <w:t>几十年来，强生公司持续销售婴儿爽身粉，这一产品也使强生公司渐渐家喻户晓。然而在2016年，一位女性声称因使用强生婴儿爽身粉而罹患卵巢癌，随后其起诉强生公司，最终获赔7200万美元。随之到来的漫天诉讼及巨额赔偿使得强生公司陷入风暴中心。如何解决大规模侵权诉讼并维系经营？强生公司设计出一系列计划，试图利用破产机制摆脱诉累，完成“金蝉脱壳”，却招致更严厉的批判......</w:t>
      </w:r>
    </w:p>
    <w:p>
      <w:pPr>
        <w:spacing w:after="0" w:line="422" w:lineRule="auto"/>
        <w:jc w:val="both"/>
        <w:sectPr>
          <w:pgSz w:w="11910" w:h="16840"/>
          <w:pgMar w:top="1600" w:right="1060" w:bottom="980" w:left="1260" w:header="1148" w:footer="793" w:gutter="0"/>
          <w:pgNumType w:fmt="decimal"/>
          <w:cols w:space="720" w:num="1"/>
        </w:sectPr>
      </w:pPr>
    </w:p>
    <w:p>
      <w:pPr>
        <w:pStyle w:val="4"/>
        <w:rPr>
          <w:sz w:val="20"/>
        </w:rPr>
      </w:pPr>
    </w:p>
    <w:p>
      <w:pPr>
        <w:pStyle w:val="3"/>
        <w:numPr>
          <w:ilvl w:val="1"/>
          <w:numId w:val="1"/>
        </w:numPr>
        <w:tabs>
          <w:tab w:val="left" w:pos="1415"/>
        </w:tabs>
        <w:spacing w:before="225" w:after="0" w:line="240" w:lineRule="auto"/>
        <w:ind w:left="1414" w:right="0" w:hanging="283"/>
        <w:jc w:val="left"/>
      </w:pPr>
      <w:r>
        <w:rPr>
          <w:color w:val="202020"/>
        </w:rPr>
        <w:t>一、强生为何申请破产重整？</w:t>
      </w:r>
    </w:p>
    <w:p>
      <w:pPr>
        <w:pStyle w:val="4"/>
        <w:spacing w:before="3"/>
        <w:rPr>
          <w:b/>
          <w:sz w:val="21"/>
        </w:rPr>
      </w:pPr>
    </w:p>
    <w:p>
      <w:pPr>
        <w:pStyle w:val="4"/>
        <w:spacing w:before="1" w:line="422" w:lineRule="auto"/>
        <w:ind w:left="220" w:right="746" w:firstLine="590"/>
        <w:jc w:val="both"/>
      </w:pPr>
      <w:r>
        <w:rPr>
          <w:color w:val="202020"/>
        </w:rPr>
        <w:t>根据2021年全球上市公司市值排行榜，强生公司以股票市值4330 亿美元位列第14名，保健医疗领域第1名。作为一家信誉卓著的公司， 强生公司的财务状况无可挑剔，且与美国国债享有同样的良好信用评级，这样一家企业为何要申请破产？这还得从其王牌产品说起。</w:t>
      </w:r>
    </w:p>
    <w:p>
      <w:pPr>
        <w:pStyle w:val="4"/>
        <w:spacing w:before="8"/>
        <w:rPr>
          <w:sz w:val="15"/>
        </w:rPr>
      </w:pPr>
      <w:r>
        <w:drawing>
          <wp:anchor distT="0" distB="0" distL="0" distR="0" simplePos="0" relativeHeight="251660288" behindDoc="0" locked="0" layoutInCell="1" allowOverlap="1">
            <wp:simplePos x="0" y="0"/>
            <wp:positionH relativeFrom="page">
              <wp:posOffset>996315</wp:posOffset>
            </wp:positionH>
            <wp:positionV relativeFrom="paragraph">
              <wp:posOffset>151765</wp:posOffset>
            </wp:positionV>
            <wp:extent cx="5477510" cy="3649345"/>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22" cstate="print"/>
                    <a:stretch>
                      <a:fillRect/>
                    </a:stretch>
                  </pic:blipFill>
                  <pic:spPr>
                    <a:xfrm>
                      <a:off x="0" y="0"/>
                      <a:ext cx="5477286" cy="3649503"/>
                    </a:xfrm>
                    <a:prstGeom prst="rect">
                      <a:avLst/>
                    </a:prstGeom>
                  </pic:spPr>
                </pic:pic>
              </a:graphicData>
            </a:graphic>
          </wp:anchor>
        </w:drawing>
      </w:r>
    </w:p>
    <w:p>
      <w:pPr>
        <w:pStyle w:val="4"/>
      </w:pPr>
    </w:p>
    <w:p>
      <w:pPr>
        <w:pStyle w:val="4"/>
        <w:spacing w:before="8"/>
        <w:rPr>
          <w:sz w:val="21"/>
        </w:rPr>
      </w:pPr>
    </w:p>
    <w:p>
      <w:pPr>
        <w:pStyle w:val="4"/>
        <w:spacing w:line="422" w:lineRule="auto"/>
        <w:ind w:left="220" w:right="417" w:firstLine="559"/>
        <w:jc w:val="both"/>
        <w:rPr>
          <w:b/>
        </w:rPr>
      </w:pPr>
      <w:r>
        <w:t>滑石粉是强生婴儿爽身粉系列产品中的主要成分，本质是一种普遍存在于自然界的矿物质，有细腻、润滑皮肤等功效，因而被广泛应用于各种润肤粉、爽身粉产品中。根据世界卫生组织国际癌症研究机构公布的 “致癌物清单”，不含石棉或石棉状纤维的滑石粉被认为是3类致癌物，即对人类有致癌可能，但尚无充分的人体或动物数据。但是，滑石粉容易受到石棉这种天然矿物纤维的污染。</w:t>
      </w:r>
      <w:r>
        <w:rPr>
          <w:b/>
        </w:rPr>
        <w:t>石棉被世界卫生组织认定为</w:t>
      </w:r>
    </w:p>
    <w:p>
      <w:pPr>
        <w:spacing w:after="0" w:line="422" w:lineRule="auto"/>
        <w:jc w:val="both"/>
        <w:sectPr>
          <w:pgSz w:w="11910" w:h="16840"/>
          <w:pgMar w:top="1600" w:right="1060" w:bottom="980" w:left="1260" w:header="1148" w:footer="793" w:gutter="0"/>
          <w:pgNumType w:fmt="decimal"/>
          <w:cols w:space="720" w:num="1"/>
        </w:sectPr>
      </w:pPr>
    </w:p>
    <w:p>
      <w:pPr>
        <w:spacing w:before="57" w:line="422" w:lineRule="auto"/>
        <w:ind w:left="220" w:right="417" w:firstLine="0"/>
        <w:jc w:val="left"/>
        <w:rPr>
          <w:sz w:val="28"/>
        </w:rPr>
      </w:pPr>
      <w:r>
        <w:rPr>
          <w:b/>
          <w:sz w:val="28"/>
        </w:rPr>
        <w:t>一级致癌物，因此含有石棉杂质的滑石粉会导致癌症。</w:t>
      </w:r>
      <w:r>
        <w:rPr>
          <w:sz w:val="28"/>
        </w:rPr>
        <w:t>一般来说，检测合格的化妆品所含滑石粉的纯度较高，不会含有石棉成分。</w:t>
      </w:r>
    </w:p>
    <w:p>
      <w:pPr>
        <w:pStyle w:val="4"/>
      </w:pPr>
    </w:p>
    <w:p>
      <w:pPr>
        <w:pStyle w:val="4"/>
        <w:spacing w:before="7"/>
        <w:rPr>
          <w:sz w:val="21"/>
        </w:rPr>
      </w:pPr>
    </w:p>
    <w:p>
      <w:pPr>
        <w:pStyle w:val="4"/>
        <w:spacing w:before="1" w:line="422" w:lineRule="auto"/>
        <w:ind w:left="220" w:right="417" w:firstLine="559"/>
        <w:jc w:val="both"/>
      </w:pPr>
      <w:r>
        <w:t>自2016年以来，强生公司就一直面临产品致癌的指控，截至2021年4 月，美国法院大约有近3万起针对强生公司及其子公司的未决诉讼，强生公司仅在2016年至2019年就已向消费者赔偿超过344亿元。强生公司在产品致癌诉讼中一直否认爽身粉中存在致癌物质，并表示未在其产品中发现石棉成分。</w:t>
      </w:r>
    </w:p>
    <w:p>
      <w:pPr>
        <w:pStyle w:val="4"/>
        <w:spacing w:before="10"/>
        <w:rPr>
          <w:sz w:val="21"/>
        </w:rPr>
      </w:pPr>
      <w:r>
        <w:drawing>
          <wp:anchor distT="0" distB="0" distL="0" distR="0" simplePos="0" relativeHeight="251660288" behindDoc="0" locked="0" layoutInCell="1" allowOverlap="1">
            <wp:simplePos x="0" y="0"/>
            <wp:positionH relativeFrom="page">
              <wp:posOffset>999490</wp:posOffset>
            </wp:positionH>
            <wp:positionV relativeFrom="paragraph">
              <wp:posOffset>201930</wp:posOffset>
            </wp:positionV>
            <wp:extent cx="5656580" cy="318516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23" cstate="print"/>
                    <a:stretch>
                      <a:fillRect/>
                    </a:stretch>
                  </pic:blipFill>
                  <pic:spPr>
                    <a:xfrm>
                      <a:off x="0" y="0"/>
                      <a:ext cx="5656771" cy="3185160"/>
                    </a:xfrm>
                    <a:prstGeom prst="rect">
                      <a:avLst/>
                    </a:prstGeom>
                  </pic:spPr>
                </pic:pic>
              </a:graphicData>
            </a:graphic>
          </wp:anchor>
        </w:drawing>
      </w:r>
    </w:p>
    <w:p>
      <w:pPr>
        <w:pStyle w:val="4"/>
      </w:pPr>
    </w:p>
    <w:p>
      <w:pPr>
        <w:pStyle w:val="4"/>
        <w:spacing w:before="8"/>
        <w:rPr>
          <w:sz w:val="20"/>
        </w:rPr>
      </w:pPr>
    </w:p>
    <w:p>
      <w:pPr>
        <w:pStyle w:val="4"/>
        <w:spacing w:line="422" w:lineRule="auto"/>
        <w:ind w:left="220" w:right="417" w:firstLine="559"/>
        <w:jc w:val="both"/>
      </w:pPr>
      <w:r>
        <w:t>2019年10月18日，美国食品药品监督管理局（FDA）发布公告称其在某在线零售商处购买的一瓶样品中发现石棉污染物。此事发生后，强生在美国召回相关批次产品3.3万瓶。强生公司随后于12月3日发布公告称，两个不同的第三方实验室对于来自FDA实验室的同一样品进行测试， 并未从中发现石棉成分。强生公司认为这一结果推翻了FDA此前的检测结</w:t>
      </w:r>
    </w:p>
    <w:p>
      <w:pPr>
        <w:spacing w:after="0" w:line="422" w:lineRule="auto"/>
        <w:jc w:val="both"/>
        <w:sectPr>
          <w:pgSz w:w="11910" w:h="16840"/>
          <w:pgMar w:top="1600" w:right="1060" w:bottom="980" w:left="1260" w:header="1148" w:footer="793" w:gutter="0"/>
          <w:pgNumType w:fmt="decimal"/>
          <w:cols w:space="720" w:num="1"/>
        </w:sectPr>
      </w:pPr>
    </w:p>
    <w:p>
      <w:pPr>
        <w:pStyle w:val="4"/>
        <w:spacing w:before="57" w:line="422" w:lineRule="auto"/>
        <w:ind w:left="220" w:right="417"/>
      </w:pPr>
      <w:r>
        <w:t>果。2020 年 5 月，强生表示将在美国和加拿大停售含滑石粉的婴儿爽身粉。</w:t>
      </w:r>
    </w:p>
    <w:p>
      <w:pPr>
        <w:pStyle w:val="4"/>
      </w:pPr>
    </w:p>
    <w:p>
      <w:pPr>
        <w:pStyle w:val="4"/>
        <w:spacing w:before="7"/>
        <w:rPr>
          <w:sz w:val="21"/>
        </w:rPr>
      </w:pPr>
    </w:p>
    <w:p>
      <w:pPr>
        <w:spacing w:before="1" w:line="422" w:lineRule="auto"/>
        <w:ind w:left="220" w:right="417" w:firstLine="559"/>
        <w:jc w:val="both"/>
        <w:rPr>
          <w:b/>
          <w:sz w:val="28"/>
        </w:rPr>
      </w:pPr>
      <w:r>
        <w:rPr>
          <w:sz w:val="28"/>
        </w:rPr>
        <w:t>当下对于强生爽身粉中是否含有石棉仍存在争议，但漫天诉讼及巨额赔偿从未间断。根据破产法院的记录，截至申请破产重整之前，</w:t>
      </w:r>
      <w:r>
        <w:rPr>
          <w:b/>
          <w:sz w:val="28"/>
        </w:rPr>
        <w:t>强生公司面临超过38000起产品致癌诉讼，以及共计 35 亿美元的判决赔偿及和解费用。</w:t>
      </w:r>
    </w:p>
    <w:p>
      <w:pPr>
        <w:pStyle w:val="4"/>
        <w:rPr>
          <w:b/>
        </w:rPr>
      </w:pPr>
    </w:p>
    <w:p>
      <w:pPr>
        <w:pStyle w:val="4"/>
        <w:spacing w:before="7"/>
        <w:rPr>
          <w:b/>
          <w:sz w:val="21"/>
        </w:rPr>
      </w:pPr>
    </w:p>
    <w:p>
      <w:pPr>
        <w:pStyle w:val="4"/>
        <w:spacing w:line="422" w:lineRule="auto"/>
        <w:ind w:left="220" w:right="417" w:firstLine="559"/>
        <w:jc w:val="both"/>
      </w:pPr>
      <w:r>
        <w:rPr>
          <w:b/>
        </w:rPr>
        <w:t>面对大规模侵权诉讼，企业往往选择适用美国破产法第11章规定的破产重整制度。</w:t>
      </w:r>
      <w:r>
        <w:t>一旦进入破产重整程序，根据美国破产法第362条所规定的自动中止制度，公司可以通过停止几乎一切针对债务人的司法、行政及其他程序，实现两大目标：第一，让所有债权都受到公平对待，避免个别执行程序的弊端；第二，停止所有催收滋扰，让债务人获得喘息和谈判空间。因此，强生公司效仿过往的大企业做法，通过申请破产重整推动大规模侵权诉讼及赔偿债务的一揽子解决。</w:t>
      </w:r>
    </w:p>
    <w:p>
      <w:pPr>
        <w:pStyle w:val="4"/>
      </w:pPr>
    </w:p>
    <w:p>
      <w:pPr>
        <w:pStyle w:val="4"/>
        <w:spacing w:before="11"/>
        <w:rPr>
          <w:sz w:val="21"/>
        </w:rPr>
      </w:pPr>
    </w:p>
    <w:p>
      <w:pPr>
        <w:pStyle w:val="3"/>
        <w:spacing w:before="1" w:line="424" w:lineRule="auto"/>
        <w:ind w:left="220" w:right="419" w:firstLine="559"/>
      </w:pPr>
      <w:r>
        <w:t>2021年10月14日，从强生公司分拆出来的新公司LTL在北卡罗来纳州西区联邦破产法院申请启动破产重整程序。</w:t>
      </w:r>
    </w:p>
    <w:p>
      <w:pPr>
        <w:spacing w:after="0" w:line="424" w:lineRule="auto"/>
        <w:sectPr>
          <w:pgSz w:w="11910" w:h="16840"/>
          <w:pgMar w:top="1600" w:right="1060" w:bottom="980" w:left="1260" w:header="1148" w:footer="793" w:gutter="0"/>
          <w:pgNumType w:fmt="decimal"/>
          <w:cols w:space="720" w:num="1"/>
        </w:sectPr>
      </w:pPr>
    </w:p>
    <w:p>
      <w:pPr>
        <w:pStyle w:val="8"/>
        <w:numPr>
          <w:ilvl w:val="0"/>
          <w:numId w:val="2"/>
        </w:numPr>
        <w:tabs>
          <w:tab w:val="left" w:pos="1062"/>
        </w:tabs>
        <w:spacing w:before="57" w:after="0" w:line="240" w:lineRule="auto"/>
        <w:ind w:left="1062" w:right="0" w:hanging="282"/>
        <w:jc w:val="left"/>
        <w:rPr>
          <w:b/>
          <w:sz w:val="28"/>
        </w:rPr>
      </w:pPr>
      <w:r>
        <w:rPr>
          <w:b/>
          <w:color w:val="202020"/>
          <w:sz w:val="28"/>
        </w:rPr>
        <w:t>二、强生申请破产重整为何被批评？</w:t>
      </w:r>
    </w:p>
    <w:p>
      <w:pPr>
        <w:pStyle w:val="4"/>
        <w:spacing w:before="3"/>
        <w:rPr>
          <w:b/>
          <w:sz w:val="21"/>
        </w:rPr>
      </w:pPr>
    </w:p>
    <w:p>
      <w:pPr>
        <w:pStyle w:val="4"/>
        <w:spacing w:line="422" w:lineRule="auto"/>
        <w:ind w:left="540" w:right="748" w:firstLine="592"/>
        <w:jc w:val="both"/>
      </w:pPr>
      <w:r>
        <w:drawing>
          <wp:anchor distT="0" distB="0" distL="0" distR="0" simplePos="0" relativeHeight="251660288" behindDoc="0" locked="0" layoutInCell="1" allowOverlap="1">
            <wp:simplePos x="0" y="0"/>
            <wp:positionH relativeFrom="page">
              <wp:posOffset>1081405</wp:posOffset>
            </wp:positionH>
            <wp:positionV relativeFrom="paragraph">
              <wp:posOffset>3641090</wp:posOffset>
            </wp:positionV>
            <wp:extent cx="5652135" cy="3766185"/>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24" cstate="print"/>
                    <a:stretch>
                      <a:fillRect/>
                    </a:stretch>
                  </pic:blipFill>
                  <pic:spPr>
                    <a:xfrm>
                      <a:off x="0" y="0"/>
                      <a:ext cx="5651883" cy="3765899"/>
                    </a:xfrm>
                    <a:prstGeom prst="rect">
                      <a:avLst/>
                    </a:prstGeom>
                  </pic:spPr>
                </pic:pic>
              </a:graphicData>
            </a:graphic>
          </wp:anchor>
        </w:drawing>
      </w:r>
      <w:r>
        <w:rPr>
          <w:color w:val="202020"/>
        </w:rPr>
        <w:t>一般来言，破产法应当适用于无法承担所有债务而濒临破产的公司。然而近些年来，资产充盈的大企业利用破产重整制度解决大规模侵权的做法屡见不鲜。对于这一做法，国际范围内学界褒贬不一。反对者认为破产重整程序会被滥用使得受害者无法获得充分受偿。同时在破产清算程序中，受害者纵然可以获得较高清偿顺位， 但是相较于直接起诉并获得赔偿的方式更为复杂且不可预测，无法合理保障受害者利益。支持者则认为在大规模侵权案件中应当考虑利益平衡，在保障受害者权益的同时，应当避免对侵权主体施加过重赔偿责任，破产重整相较于破产清算更有利于受害者获得赔偿。</w:t>
      </w:r>
    </w:p>
    <w:p>
      <w:pPr>
        <w:pStyle w:val="4"/>
        <w:spacing w:before="5"/>
      </w:pPr>
    </w:p>
    <w:p>
      <w:pPr>
        <w:pStyle w:val="4"/>
        <w:rPr>
          <w:sz w:val="20"/>
        </w:rPr>
      </w:pPr>
      <w:r>
        <w:t>回到强生公司案中，强生公司的破产策略之所以被广泛批判，原因有二：</w:t>
      </w:r>
    </w:p>
    <w:p>
      <w:pPr>
        <w:pStyle w:val="4"/>
        <w:spacing w:before="2"/>
        <w:rPr>
          <w:sz w:val="22"/>
        </w:rPr>
      </w:pPr>
    </w:p>
    <w:p>
      <w:pPr>
        <w:pStyle w:val="3"/>
        <w:spacing w:before="61"/>
      </w:pPr>
      <w:r>
        <w:rPr>
          <w:color w:val="C00000"/>
        </w:rPr>
        <w:t>一是认为强生滥用破产重整程序以减轻赔偿责任。</w:t>
      </w:r>
    </w:p>
    <w:p>
      <w:pPr>
        <w:pStyle w:val="4"/>
        <w:rPr>
          <w:b/>
        </w:rPr>
      </w:pPr>
    </w:p>
    <w:p>
      <w:pPr>
        <w:pStyle w:val="4"/>
        <w:spacing w:before="1"/>
        <w:rPr>
          <w:b/>
          <w:sz w:val="29"/>
        </w:rPr>
      </w:pPr>
    </w:p>
    <w:p>
      <w:pPr>
        <w:pStyle w:val="4"/>
        <w:spacing w:line="364" w:lineRule="auto"/>
        <w:ind w:left="220" w:right="679" w:firstLine="559"/>
      </w:pPr>
      <w:r>
        <w:rPr>
          <w:spacing w:val="-3"/>
        </w:rPr>
        <w:t>强生公司的重整计划采用“</w:t>
      </w:r>
      <w:r>
        <w:rPr>
          <w:b/>
        </w:rPr>
        <w:t>德克萨斯州两步法</w:t>
      </w:r>
      <w:r>
        <w:rPr>
          <w:spacing w:val="-2"/>
        </w:rPr>
        <w:t>”，一种较为复杂的</w:t>
      </w:r>
      <w:r>
        <w:rPr>
          <w:spacing w:val="-3"/>
        </w:rPr>
        <w:t>方法。这一做法为德克萨斯州法律所允许，可以使得具有盈利能力和良好信用的大公司将其一部分分离为新实体并申请破产，以剥离诉讼赔 偿。</w:t>
      </w:r>
    </w:p>
    <w:p>
      <w:pPr>
        <w:pStyle w:val="4"/>
      </w:pPr>
    </w:p>
    <w:p>
      <w:pPr>
        <w:pStyle w:val="4"/>
        <w:spacing w:before="184" w:line="364" w:lineRule="auto"/>
        <w:ind w:left="220" w:right="683" w:firstLine="559"/>
        <w:jc w:val="both"/>
      </w:pPr>
      <w:r>
        <w:rPr>
          <w:b/>
        </w:rPr>
        <w:t>第一步，</w:t>
      </w:r>
      <w:r>
        <w:t>公司需要首先创建一个新的法律实体，将其侵权责任转移到该实体中，同时转移原始公司资产的相对较小的一部分，使得公司分为有资产的新企业和有负债的新企业。</w:t>
      </w:r>
    </w:p>
    <w:p>
      <w:pPr>
        <w:pStyle w:val="4"/>
      </w:pPr>
    </w:p>
    <w:p>
      <w:pPr>
        <w:pStyle w:val="4"/>
        <w:spacing w:before="182" w:line="364" w:lineRule="auto"/>
        <w:ind w:left="220" w:right="964" w:firstLine="559"/>
      </w:pPr>
      <w:r>
        <w:rPr>
          <w:b/>
        </w:rPr>
        <w:t>第二步，</w:t>
      </w:r>
      <w:r>
        <w:t>新成立的有负债的公司申请破产，从而有效地保护原公司，使其免受侵权责任的影响。</w:t>
      </w:r>
    </w:p>
    <w:p>
      <w:pPr>
        <w:pStyle w:val="4"/>
      </w:pPr>
    </w:p>
    <w:p>
      <w:pPr>
        <w:pStyle w:val="4"/>
        <w:spacing w:before="185" w:line="364" w:lineRule="auto"/>
        <w:ind w:left="220" w:right="547" w:firstLine="559"/>
      </w:pPr>
      <w:r>
        <w:t>2021年10月12日，强生公司通过德克萨斯州法律进行拆分，创建了LTL Management（简称“LTL”）和New J&amp;J（简称“新强生公司”）两家公司。原强生公司向LTL转移了所有产品赔偿责任并向LTL注资约20亿美元，用于所有侵权相关的诉讼费用及赔偿，同时向新强生公司注资约4000亿美元。此番操作之后，LTL将负责支付所有侵权诉讼费用并承担相关负债，最高承担金额为新运营实体的价值。</w:t>
      </w:r>
    </w:p>
    <w:p>
      <w:pPr>
        <w:spacing w:after="0" w:line="364" w:lineRule="auto"/>
        <w:sectPr>
          <w:footerReference r:id="rId9" w:type="default"/>
          <w:pgSz w:w="11910" w:h="16840"/>
          <w:pgMar w:top="1600" w:right="1060" w:bottom="980" w:left="1260" w:header="1148" w:footer="793" w:gutter="0"/>
          <w:pgNumType w:fmt="decimal" w:start="10"/>
          <w:cols w:space="720" w:num="1"/>
        </w:sectPr>
      </w:pPr>
    </w:p>
    <w:p>
      <w:pPr>
        <w:pStyle w:val="4"/>
        <w:spacing w:before="4"/>
        <w:rPr>
          <w:sz w:val="4"/>
        </w:rPr>
      </w:pPr>
    </w:p>
    <w:p>
      <w:pPr>
        <w:pStyle w:val="4"/>
        <w:ind w:left="220"/>
        <w:rPr>
          <w:sz w:val="20"/>
        </w:rPr>
      </w:pPr>
      <w:r>
        <w:rPr>
          <w:sz w:val="20"/>
        </w:rPr>
        <w:drawing>
          <wp:inline distT="0" distB="0" distL="0" distR="0">
            <wp:extent cx="5657850" cy="3181985"/>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25" cstate="print"/>
                    <a:stretch>
                      <a:fillRect/>
                    </a:stretch>
                  </pic:blipFill>
                  <pic:spPr>
                    <a:xfrm>
                      <a:off x="0" y="0"/>
                      <a:ext cx="5657931" cy="3182112"/>
                    </a:xfrm>
                    <a:prstGeom prst="rect">
                      <a:avLst/>
                    </a:prstGeom>
                  </pic:spPr>
                </pic:pic>
              </a:graphicData>
            </a:graphic>
          </wp:inline>
        </w:drawing>
      </w:r>
    </w:p>
    <w:p>
      <w:pPr>
        <w:pStyle w:val="4"/>
        <w:rPr>
          <w:sz w:val="20"/>
        </w:rPr>
      </w:pPr>
    </w:p>
    <w:p>
      <w:pPr>
        <w:pStyle w:val="4"/>
        <w:spacing w:before="1"/>
        <w:rPr>
          <w:sz w:val="19"/>
        </w:rPr>
      </w:pPr>
    </w:p>
    <w:p>
      <w:pPr>
        <w:pStyle w:val="4"/>
        <w:spacing w:before="62" w:line="364" w:lineRule="auto"/>
        <w:ind w:left="220" w:right="657" w:firstLine="559"/>
        <w:jc w:val="both"/>
      </w:pPr>
      <w:r>
        <w:t>强生公司使用“德克萨斯州两步法”后，一种理想化的设想是：公司可以让两个新企业签订相互赔偿协议，确保一方责任由另一方负担， 因此通过保持有资产的企业的盈利能力，债权人可以获得资产丰富的企业的资产。然而有学者质疑该做法带来的实际效果。首先，由于债务人通过商业操作使得资产丰富的企业获得豁免，侵权索赔人将无法通过直接起诉未破产且资产丰富的企业获得赔偿。其次，赔偿方案将完全由债务人董事负责执行，两个公司一套班子，他们不会切实保护索赔人的利益，索赔人无法得到充分受偿。</w:t>
      </w:r>
      <w:r>
        <w:rPr>
          <w:b/>
        </w:rPr>
        <w:t>导致的结果是，无论纸面谈判中赔偿金额有多么巨大，最后实际赔偿金额只限于负债企业的资产，</w:t>
      </w:r>
      <w:r>
        <w:t>索赔人不能寄希望于LTL动用资产充盈的强生企业的资金赔偿。</w:t>
      </w:r>
    </w:p>
    <w:p>
      <w:pPr>
        <w:pStyle w:val="4"/>
        <w:spacing w:before="12"/>
        <w:rPr>
          <w:sz w:val="41"/>
        </w:rPr>
      </w:pPr>
    </w:p>
    <w:p>
      <w:pPr>
        <w:spacing w:before="0" w:line="364" w:lineRule="auto"/>
        <w:ind w:left="220" w:right="657" w:firstLine="559"/>
        <w:jc w:val="left"/>
        <w:rPr>
          <w:sz w:val="28"/>
        </w:rPr>
      </w:pPr>
      <w:r>
        <w:rPr>
          <w:b/>
          <w:spacing w:val="-1"/>
          <w:w w:val="95"/>
          <w:sz w:val="28"/>
        </w:rPr>
        <w:t xml:space="preserve">既然“德克萨斯州两步法”有转移财产逃避责任的风险，为何德克 </w:t>
      </w:r>
      <w:r>
        <w:rPr>
          <w:b/>
          <w:spacing w:val="-1"/>
          <w:sz w:val="28"/>
        </w:rPr>
        <w:t>萨斯州法律未予以规制？</w:t>
      </w:r>
      <w:r>
        <w:rPr>
          <w:spacing w:val="-3"/>
          <w:sz w:val="28"/>
        </w:rPr>
        <w:t>事实上，德克萨斯州已通过《统一欺诈转移法</w:t>
      </w:r>
    </w:p>
    <w:p>
      <w:pPr>
        <w:pStyle w:val="4"/>
        <w:spacing w:line="364" w:lineRule="auto"/>
        <w:ind w:left="220" w:right="686"/>
      </w:pPr>
      <w:r>
        <w:t>（Uniform</w:t>
      </w:r>
      <w:r>
        <w:rPr>
          <w:spacing w:val="-2"/>
        </w:rPr>
        <w:t xml:space="preserve"> </w:t>
      </w:r>
      <w:r>
        <w:t>Fraudulent</w:t>
      </w:r>
      <w:r>
        <w:rPr>
          <w:spacing w:val="-2"/>
        </w:rPr>
        <w:t xml:space="preserve"> </w:t>
      </w:r>
      <w:r>
        <w:t>Transfer</w:t>
      </w:r>
      <w:r>
        <w:rPr>
          <w:spacing w:val="-2"/>
        </w:rPr>
        <w:t xml:space="preserve"> </w:t>
      </w:r>
      <w:r>
        <w:t>Act</w:t>
      </w:r>
      <w:r>
        <w:rPr>
          <w:spacing w:val="-4"/>
        </w:rPr>
        <w:t xml:space="preserve"> </w:t>
      </w:r>
      <w:r>
        <w:t>）</w:t>
      </w:r>
      <w:r>
        <w:rPr>
          <w:spacing w:val="-3"/>
        </w:rPr>
        <w:t>》，该法旨在规制欺诈转移行为，法律中规定有</w:t>
      </w:r>
      <w:r>
        <w:rPr>
          <w:spacing w:val="-1"/>
        </w:rPr>
        <w:t>11</w:t>
      </w:r>
      <w:r>
        <w:rPr>
          <w:spacing w:val="-3"/>
        </w:rPr>
        <w:t>种欺诈转移的典型行为，具体包括向内部人转让财</w:t>
      </w:r>
    </w:p>
    <w:p>
      <w:pPr>
        <w:spacing w:after="0" w:line="364" w:lineRule="auto"/>
        <w:sectPr>
          <w:pgSz w:w="11910" w:h="16840"/>
          <w:pgMar w:top="1600" w:right="1060" w:bottom="980" w:left="1260" w:header="1148" w:footer="793" w:gutter="0"/>
          <w:pgNumType w:fmt="decimal"/>
          <w:cols w:space="720" w:num="1"/>
        </w:sectPr>
      </w:pPr>
    </w:p>
    <w:p>
      <w:pPr>
        <w:spacing w:before="57" w:line="364" w:lineRule="auto"/>
        <w:ind w:left="220" w:right="662" w:firstLine="0"/>
        <w:jc w:val="both"/>
        <w:rPr>
          <w:sz w:val="28"/>
        </w:rPr>
      </w:pPr>
      <w:r>
        <w:rPr>
          <w:sz w:val="28"/>
        </w:rPr>
        <w:t>产、债务人转移或隐藏财产、在巨额债务发生不久前或不久后转让财产等。有学者认为“德克萨斯州两步法”已实际符合法律中所规制的“意图妨碍、拖延或欺骗债权人”的转让行为，因为它实质限制了债权人的追偿。但由于现有法律中没有明确规定，目前各大公司仍可以通过企业法逃脱上述规制。</w:t>
      </w:r>
      <w:r>
        <w:rPr>
          <w:b/>
          <w:sz w:val="28"/>
        </w:rPr>
        <w:t>本质上，德克萨斯州公司法与统一欺诈转移法之间存在冲突，而“德克萨斯州两步法”利用了这一法律漏洞</w:t>
      </w:r>
      <w:r>
        <w:rPr>
          <w:sz w:val="28"/>
        </w:rPr>
        <w:t>。</w:t>
      </w:r>
    </w:p>
    <w:p>
      <w:pPr>
        <w:pStyle w:val="4"/>
        <w:ind w:left="220"/>
        <w:rPr>
          <w:sz w:val="20"/>
        </w:rPr>
      </w:pPr>
      <w:r>
        <w:rPr>
          <w:sz w:val="20"/>
        </w:rPr>
        <w:drawing>
          <wp:inline distT="0" distB="0" distL="0" distR="0">
            <wp:extent cx="5651500" cy="3765550"/>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r:embed="rId26" cstate="print"/>
                    <a:stretch>
                      <a:fillRect/>
                    </a:stretch>
                  </pic:blipFill>
                  <pic:spPr>
                    <a:xfrm>
                      <a:off x="0" y="0"/>
                      <a:ext cx="5651883" cy="3765899"/>
                    </a:xfrm>
                    <a:prstGeom prst="rect">
                      <a:avLst/>
                    </a:prstGeom>
                  </pic:spPr>
                </pic:pic>
              </a:graphicData>
            </a:graphic>
          </wp:inline>
        </w:drawing>
      </w:r>
    </w:p>
    <w:p>
      <w:pPr>
        <w:pStyle w:val="4"/>
      </w:pPr>
    </w:p>
    <w:p>
      <w:pPr>
        <w:pStyle w:val="4"/>
        <w:spacing w:before="206" w:line="364" w:lineRule="auto"/>
        <w:ind w:left="220" w:right="686" w:firstLine="559"/>
      </w:pPr>
      <w:r>
        <w:rPr>
          <w:spacing w:val="-3"/>
        </w:rPr>
        <w:t>事实上，即使索赔债权人起诉强生公司存在欺诈性转移并最终胜 诉，强生公司也可以利用谈判优势，提前以折扣价结算赔偿。而对于索赔人将造成赔偿程序的延误，因为欺诈性转移索赔适用对抗性诉讼程 序，也就意味着索赔人要等待送达、反诉、证据开示、审判等多重程序的完成，大大增加了时间成本和诉讼成本。</w:t>
      </w:r>
    </w:p>
    <w:p>
      <w:pPr>
        <w:pStyle w:val="4"/>
      </w:pPr>
    </w:p>
    <w:p>
      <w:pPr>
        <w:pStyle w:val="3"/>
        <w:spacing w:before="184"/>
      </w:pPr>
      <w:r>
        <w:rPr>
          <w:color w:val="C00000"/>
        </w:rPr>
        <w:t>二是认为强生有目的的选择对其有利的法院诉讼。</w:t>
      </w:r>
    </w:p>
    <w:p>
      <w:pPr>
        <w:spacing w:after="0"/>
        <w:sectPr>
          <w:pgSz w:w="11910" w:h="16840"/>
          <w:pgMar w:top="1600" w:right="1060" w:bottom="980" w:left="1260" w:header="1148" w:footer="793" w:gutter="0"/>
          <w:pgNumType w:fmt="decimal"/>
          <w:cols w:space="720" w:num="1"/>
        </w:sectPr>
      </w:pPr>
    </w:p>
    <w:p>
      <w:pPr>
        <w:pStyle w:val="4"/>
        <w:rPr>
          <w:b/>
          <w:sz w:val="20"/>
        </w:rPr>
      </w:pPr>
    </w:p>
    <w:p>
      <w:pPr>
        <w:pStyle w:val="4"/>
        <w:spacing w:before="2"/>
        <w:rPr>
          <w:b/>
          <w:sz w:val="22"/>
        </w:rPr>
      </w:pPr>
    </w:p>
    <w:p>
      <w:pPr>
        <w:pStyle w:val="4"/>
        <w:spacing w:before="61" w:line="364" w:lineRule="auto"/>
        <w:ind w:left="220" w:right="547" w:firstLine="559"/>
      </w:pPr>
      <w:r>
        <w:t>原强生公司的总部位于新泽西州，其选择拆分公司的地点位于德克萨斯州，最终LTL变为一家位于北卡罗来纳州的公司并在几天后申请破产重整程序。因此批评人士认为，LTL滥用破产法中破产法院管辖制度的规定，有目的的选择对公司有利的法院申请破产。而LTL之所以选择北卡罗来纳州西区联邦破产法院，有两点原因：一是在北卡罗来纳州，由破产管理人实行联邦托管人职能，因此强生公司可以有更大的操作空间。二是一旦索赔人上诉，该案件将提交至第四巡回法院审查，而第四巡回法院是大多数选择“德克萨斯州两步法”的企业首选的诉讼地点，其对于驳回恶意破产申请相较于其他法院具有更加严格的标准，因此来自该法院的先例将有利于LTL在诉讼中占得上风。</w:t>
      </w:r>
    </w:p>
    <w:p>
      <w:pPr>
        <w:pStyle w:val="4"/>
        <w:ind w:left="220"/>
        <w:rPr>
          <w:sz w:val="20"/>
        </w:rPr>
      </w:pPr>
      <w:r>
        <w:rPr>
          <w:sz w:val="20"/>
        </w:rPr>
        <w:drawing>
          <wp:inline distT="0" distB="0" distL="0" distR="0">
            <wp:extent cx="5640705" cy="3767455"/>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27" cstate="print"/>
                    <a:stretch>
                      <a:fillRect/>
                    </a:stretch>
                  </pic:blipFill>
                  <pic:spPr>
                    <a:xfrm>
                      <a:off x="0" y="0"/>
                      <a:ext cx="5641256" cy="3767899"/>
                    </a:xfrm>
                    <a:prstGeom prst="rect">
                      <a:avLst/>
                    </a:prstGeom>
                  </pic:spPr>
                </pic:pic>
              </a:graphicData>
            </a:graphic>
          </wp:inline>
        </w:drawing>
      </w:r>
    </w:p>
    <w:p>
      <w:pPr>
        <w:pStyle w:val="4"/>
      </w:pPr>
    </w:p>
    <w:p>
      <w:pPr>
        <w:pStyle w:val="4"/>
        <w:spacing w:before="4"/>
        <w:rPr>
          <w:sz w:val="31"/>
        </w:rPr>
      </w:pPr>
    </w:p>
    <w:p>
      <w:pPr>
        <w:pStyle w:val="4"/>
        <w:spacing w:line="367" w:lineRule="auto"/>
        <w:ind w:left="220" w:right="532" w:firstLine="559"/>
        <w:rPr>
          <w:b/>
        </w:rPr>
      </w:pPr>
      <w:r>
        <w:t>然而在2021年11月，北卡罗来纳州西区联邦破产法院法官Craig Whitley在发现 LTL有目的的选择法院起诉后，</w:t>
      </w:r>
      <w:r>
        <w:rPr>
          <w:b/>
        </w:rPr>
        <w:t>下令将 LTL的破产重整案</w:t>
      </w:r>
    </w:p>
    <w:p>
      <w:pPr>
        <w:spacing w:after="0" w:line="367" w:lineRule="auto"/>
        <w:sectPr>
          <w:pgSz w:w="11910" w:h="16840"/>
          <w:pgMar w:top="1600" w:right="1060" w:bottom="980" w:left="1260" w:header="1148" w:footer="793" w:gutter="0"/>
          <w:pgNumType w:fmt="decimal"/>
          <w:cols w:space="720" w:num="1"/>
        </w:sectPr>
      </w:pPr>
    </w:p>
    <w:p>
      <w:pPr>
        <w:spacing w:before="57" w:line="364" w:lineRule="auto"/>
        <w:ind w:left="220" w:right="671" w:firstLine="0"/>
        <w:jc w:val="both"/>
        <w:rPr>
          <w:sz w:val="28"/>
        </w:rPr>
      </w:pPr>
      <w:r>
        <w:rPr>
          <w:b/>
          <w:sz w:val="28"/>
        </w:rPr>
        <w:t>转移至新泽西地区联邦破产法院</w:t>
      </w:r>
      <w:r>
        <w:rPr>
          <w:sz w:val="28"/>
        </w:rPr>
        <w:t>。伴随着这一裁决，上诉法院也由第四巡回法院变为第三巡回法院，这使得索赔人成功驳回恶意破产申请的可能性增大。</w:t>
      </w:r>
    </w:p>
    <w:p>
      <w:pPr>
        <w:pStyle w:val="4"/>
      </w:pPr>
    </w:p>
    <w:p>
      <w:pPr>
        <w:pStyle w:val="8"/>
        <w:numPr>
          <w:ilvl w:val="1"/>
          <w:numId w:val="2"/>
        </w:numPr>
        <w:tabs>
          <w:tab w:val="left" w:pos="1415"/>
        </w:tabs>
        <w:spacing w:before="244" w:after="0" w:line="568" w:lineRule="auto"/>
        <w:ind w:left="780" w:right="4238" w:firstLine="352"/>
        <w:jc w:val="left"/>
        <w:rPr>
          <w:sz w:val="28"/>
        </w:rPr>
      </w:pPr>
      <w:r>
        <w:rPr>
          <w:b/>
          <w:color w:val="202020"/>
          <w:w w:val="95"/>
          <w:sz w:val="28"/>
        </w:rPr>
        <w:t xml:space="preserve">三、强生破产案诉讼进展如何？ </w:t>
      </w:r>
      <w:r>
        <w:rPr>
          <w:spacing w:val="-3"/>
          <w:sz w:val="28"/>
        </w:rPr>
        <w:t>强生破产案实际包括两个案件：</w:t>
      </w:r>
    </w:p>
    <w:p>
      <w:pPr>
        <w:pStyle w:val="3"/>
        <w:spacing w:before="249"/>
      </w:pPr>
      <w:r>
        <w:rPr>
          <w:color w:val="C00000"/>
        </w:rPr>
        <w:t>（一）LTL申请破产重整案</w:t>
      </w:r>
    </w:p>
    <w:p>
      <w:pPr>
        <w:pStyle w:val="4"/>
        <w:rPr>
          <w:b/>
        </w:rPr>
      </w:pPr>
    </w:p>
    <w:p>
      <w:pPr>
        <w:pStyle w:val="4"/>
        <w:spacing w:before="10"/>
        <w:rPr>
          <w:b/>
          <w:sz w:val="29"/>
        </w:rPr>
      </w:pPr>
    </w:p>
    <w:p>
      <w:pPr>
        <w:pStyle w:val="4"/>
        <w:spacing w:line="364" w:lineRule="auto"/>
        <w:ind w:left="220" w:right="548" w:firstLine="559"/>
        <w:jc w:val="both"/>
      </w:pPr>
      <w:r>
        <w:t>2021年10月14日，LTL在北卡罗来纳州西区联邦破产法院申请破产重整，之后案件转移至新泽西地区联邦破产法院。索赔人提起了反对LTL破产重整申请的动议，并认为：</w:t>
      </w:r>
    </w:p>
    <w:p>
      <w:pPr>
        <w:pStyle w:val="4"/>
      </w:pPr>
    </w:p>
    <w:p>
      <w:pPr>
        <w:pStyle w:val="8"/>
        <w:numPr>
          <w:ilvl w:val="0"/>
          <w:numId w:val="3"/>
        </w:numPr>
        <w:tabs>
          <w:tab w:val="left" w:pos="1200"/>
        </w:tabs>
        <w:spacing w:before="189" w:after="0" w:line="367" w:lineRule="auto"/>
        <w:ind w:left="220" w:right="686" w:firstLine="559"/>
        <w:jc w:val="left"/>
        <w:rPr>
          <w:sz w:val="28"/>
        </w:rPr>
      </w:pPr>
      <w:r>
        <w:rPr>
          <w:spacing w:val="-1"/>
          <w:sz w:val="28"/>
        </w:rPr>
        <w:t>LTL</w:t>
      </w:r>
      <w:r>
        <w:rPr>
          <w:spacing w:val="-3"/>
          <w:sz w:val="28"/>
        </w:rPr>
        <w:t>申请破产是一种诉讼策略，并不是因为满足破产条件而申请</w:t>
      </w:r>
      <w:r>
        <w:rPr>
          <w:spacing w:val="-2"/>
          <w:sz w:val="28"/>
        </w:rPr>
        <w:t>破产。</w:t>
      </w:r>
    </w:p>
    <w:p>
      <w:pPr>
        <w:pStyle w:val="4"/>
      </w:pPr>
    </w:p>
    <w:p>
      <w:pPr>
        <w:pStyle w:val="8"/>
        <w:numPr>
          <w:ilvl w:val="0"/>
          <w:numId w:val="3"/>
        </w:numPr>
        <w:tabs>
          <w:tab w:val="left" w:pos="1200"/>
        </w:tabs>
        <w:spacing w:before="188" w:after="0" w:line="364" w:lineRule="auto"/>
        <w:ind w:left="220" w:right="547" w:firstLine="559"/>
        <w:jc w:val="left"/>
        <w:rPr>
          <w:sz w:val="28"/>
        </w:rPr>
      </w:pPr>
      <w:r>
        <w:rPr>
          <w:spacing w:val="-1"/>
          <w:sz w:val="28"/>
        </w:rPr>
        <w:t>LTL</w:t>
      </w:r>
      <w:r>
        <w:rPr>
          <w:spacing w:val="-3"/>
          <w:sz w:val="28"/>
        </w:rPr>
        <w:t>在申请破产前几小时才创建，这说明</w:t>
      </w:r>
      <w:r>
        <w:rPr>
          <w:sz w:val="28"/>
        </w:rPr>
        <w:t>LTL</w:t>
      </w:r>
      <w:r>
        <w:rPr>
          <w:spacing w:val="-3"/>
          <w:sz w:val="28"/>
        </w:rPr>
        <w:t>创建的目的是为了申请破产并使其具有偿付能力的母公司和附属公司免于破产，而不是基于</w:t>
      </w:r>
      <w:r>
        <w:rPr>
          <w:spacing w:val="-2"/>
          <w:sz w:val="28"/>
        </w:rPr>
        <w:t>商业考虑。</w:t>
      </w:r>
    </w:p>
    <w:p>
      <w:pPr>
        <w:pStyle w:val="4"/>
      </w:pPr>
    </w:p>
    <w:p>
      <w:pPr>
        <w:pStyle w:val="8"/>
        <w:numPr>
          <w:ilvl w:val="0"/>
          <w:numId w:val="3"/>
        </w:numPr>
        <w:tabs>
          <w:tab w:val="left" w:pos="1200"/>
        </w:tabs>
        <w:spacing w:before="191" w:after="0" w:line="364" w:lineRule="auto"/>
        <w:ind w:left="220" w:right="967" w:firstLine="559"/>
        <w:jc w:val="left"/>
        <w:rPr>
          <w:sz w:val="28"/>
        </w:rPr>
      </w:pPr>
      <w:r>
        <w:rPr>
          <w:spacing w:val="-1"/>
          <w:sz w:val="28"/>
        </w:rPr>
        <w:t>LTL</w:t>
      </w:r>
      <w:r>
        <w:rPr>
          <w:spacing w:val="-3"/>
          <w:sz w:val="28"/>
        </w:rPr>
        <w:t>没有独立的员工和独立的管理层，也没有贸易债权人、贷方、债券持有人、客户、供应商、房东、税收债权人等相对方。</w:t>
      </w:r>
    </w:p>
    <w:p>
      <w:pPr>
        <w:pStyle w:val="4"/>
      </w:pPr>
    </w:p>
    <w:p>
      <w:pPr>
        <w:pStyle w:val="8"/>
        <w:numPr>
          <w:ilvl w:val="0"/>
          <w:numId w:val="3"/>
        </w:numPr>
        <w:tabs>
          <w:tab w:val="left" w:pos="1200"/>
        </w:tabs>
        <w:spacing w:before="193" w:after="0" w:line="240" w:lineRule="auto"/>
        <w:ind w:left="1200" w:right="0" w:hanging="420"/>
        <w:jc w:val="left"/>
        <w:rPr>
          <w:sz w:val="28"/>
        </w:rPr>
      </w:pPr>
      <w:r>
        <w:rPr>
          <w:sz w:val="28"/>
        </w:rPr>
        <w:t>LTL</w:t>
      </w:r>
      <w:r>
        <w:rPr>
          <w:spacing w:val="-3"/>
          <w:sz w:val="28"/>
        </w:rPr>
        <w:t>的破产重整将无法为市场提供任何价值。</w:t>
      </w:r>
    </w:p>
    <w:p>
      <w:pPr>
        <w:spacing w:after="0" w:line="240" w:lineRule="auto"/>
        <w:jc w:val="left"/>
        <w:rPr>
          <w:sz w:val="28"/>
        </w:rPr>
        <w:sectPr>
          <w:pgSz w:w="11910" w:h="16840"/>
          <w:pgMar w:top="1600" w:right="1060" w:bottom="980" w:left="1260" w:header="1148" w:footer="793" w:gutter="0"/>
          <w:pgNumType w:fmt="decimal"/>
          <w:cols w:space="720" w:num="1"/>
        </w:sectPr>
      </w:pPr>
    </w:p>
    <w:p>
      <w:pPr>
        <w:pStyle w:val="8"/>
        <w:numPr>
          <w:ilvl w:val="0"/>
          <w:numId w:val="3"/>
        </w:numPr>
        <w:tabs>
          <w:tab w:val="left" w:pos="1200"/>
        </w:tabs>
        <w:spacing w:before="57" w:after="0" w:line="364" w:lineRule="auto"/>
        <w:ind w:left="220" w:right="686" w:firstLine="559"/>
        <w:jc w:val="left"/>
        <w:rPr>
          <w:sz w:val="28"/>
        </w:rPr>
      </w:pPr>
      <w:r>
        <w:rPr>
          <w:spacing w:val="-2"/>
          <w:sz w:val="28"/>
        </w:rPr>
        <w:t>强生创建</w:t>
      </w:r>
      <w:r>
        <w:rPr>
          <w:spacing w:val="-1"/>
          <w:sz w:val="28"/>
        </w:rPr>
        <w:t>LTL</w:t>
      </w:r>
      <w:r>
        <w:rPr>
          <w:spacing w:val="-3"/>
          <w:sz w:val="28"/>
        </w:rPr>
        <w:t>并使其破产具有恶意，目的是推迟给付赔偿并追求“破产折扣”。</w:t>
      </w:r>
    </w:p>
    <w:p>
      <w:pPr>
        <w:pStyle w:val="4"/>
      </w:pPr>
    </w:p>
    <w:p>
      <w:pPr>
        <w:pStyle w:val="8"/>
        <w:numPr>
          <w:ilvl w:val="1"/>
          <w:numId w:val="3"/>
        </w:numPr>
        <w:tabs>
          <w:tab w:val="left" w:pos="1660"/>
          <w:tab w:val="left" w:pos="1661"/>
        </w:tabs>
        <w:spacing w:before="192" w:after="0" w:line="364" w:lineRule="auto"/>
        <w:ind w:left="540" w:right="506" w:firstLine="592"/>
        <w:jc w:val="left"/>
        <w:rPr>
          <w:sz w:val="28"/>
        </w:rPr>
      </w:pPr>
      <w:r>
        <w:rPr>
          <w:spacing w:val="-3"/>
          <w:sz w:val="28"/>
        </w:rPr>
        <w:t>对于索赔人，</w:t>
      </w:r>
      <w:r>
        <w:rPr>
          <w:spacing w:val="-1"/>
          <w:sz w:val="28"/>
        </w:rPr>
        <w:t>LTL</w:t>
      </w:r>
      <w:r>
        <w:rPr>
          <w:spacing w:val="-3"/>
          <w:sz w:val="28"/>
        </w:rPr>
        <w:t>的创建和破产申请是不利于和解的明显法律</w:t>
      </w:r>
      <w:r>
        <w:rPr>
          <w:spacing w:val="-2"/>
          <w:sz w:val="28"/>
        </w:rPr>
        <w:t>手段。</w:t>
      </w:r>
    </w:p>
    <w:p>
      <w:pPr>
        <w:pStyle w:val="4"/>
        <w:spacing w:before="7"/>
        <w:rPr>
          <w:sz w:val="14"/>
        </w:rPr>
      </w:pPr>
      <w:r>
        <w:drawing>
          <wp:anchor distT="0" distB="0" distL="0" distR="0" simplePos="0" relativeHeight="251660288" behindDoc="0" locked="0" layoutInCell="1" allowOverlap="1">
            <wp:simplePos x="0" y="0"/>
            <wp:positionH relativeFrom="page">
              <wp:posOffset>2633345</wp:posOffset>
            </wp:positionH>
            <wp:positionV relativeFrom="paragraph">
              <wp:posOffset>142875</wp:posOffset>
            </wp:positionV>
            <wp:extent cx="2038350" cy="2038350"/>
            <wp:effectExtent l="0" t="0" r="0" b="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28" cstate="print"/>
                    <a:stretch>
                      <a:fillRect/>
                    </a:stretch>
                  </pic:blipFill>
                  <pic:spPr>
                    <a:xfrm>
                      <a:off x="0" y="0"/>
                      <a:ext cx="2038350" cy="2038350"/>
                    </a:xfrm>
                    <a:prstGeom prst="rect">
                      <a:avLst/>
                    </a:prstGeom>
                  </pic:spPr>
                </pic:pic>
              </a:graphicData>
            </a:graphic>
          </wp:anchor>
        </w:drawing>
      </w:r>
    </w:p>
    <w:p>
      <w:pPr>
        <w:pStyle w:val="4"/>
        <w:spacing w:before="1"/>
        <w:rPr>
          <w:sz w:val="37"/>
        </w:rPr>
      </w:pPr>
    </w:p>
    <w:p>
      <w:pPr>
        <w:spacing w:before="1"/>
        <w:ind w:left="254" w:right="588" w:firstLine="0"/>
        <w:jc w:val="center"/>
        <w:rPr>
          <w:sz w:val="21"/>
        </w:rPr>
      </w:pPr>
      <w:bookmarkStart w:id="4" w:name="图为新泽西地区联邦破产法院法官Michael Kaplan"/>
      <w:bookmarkEnd w:id="4"/>
      <w:r>
        <w:rPr>
          <w:color w:val="202020"/>
          <w:sz w:val="21"/>
        </w:rPr>
        <w:t>图为新泽西地区联邦破产法院法官Michael Kaplan</w:t>
      </w:r>
    </w:p>
    <w:p>
      <w:pPr>
        <w:pStyle w:val="4"/>
        <w:rPr>
          <w:sz w:val="20"/>
        </w:rPr>
      </w:pPr>
    </w:p>
    <w:p>
      <w:pPr>
        <w:pStyle w:val="4"/>
        <w:rPr>
          <w:sz w:val="20"/>
        </w:rPr>
      </w:pPr>
    </w:p>
    <w:p>
      <w:pPr>
        <w:pStyle w:val="4"/>
        <w:rPr>
          <w:sz w:val="20"/>
        </w:rPr>
      </w:pPr>
    </w:p>
    <w:p>
      <w:pPr>
        <w:pStyle w:val="4"/>
        <w:rPr>
          <w:sz w:val="15"/>
        </w:rPr>
      </w:pPr>
    </w:p>
    <w:p>
      <w:pPr>
        <w:pStyle w:val="4"/>
        <w:spacing w:line="422" w:lineRule="auto"/>
        <w:ind w:left="220" w:right="967" w:firstLine="559"/>
      </w:pPr>
      <w:bookmarkStart w:id="5" w:name="最终新泽西地区联邦破产法院法官Michael Kaplan于2022年2月25日"/>
      <w:bookmarkEnd w:id="5"/>
      <w:r>
        <w:rPr>
          <w:color w:val="202020"/>
        </w:rPr>
        <w:t>最终新泽西地区联邦破产法院法官Michael Kaplan于2022年2月25日批准了LTL的破产重整计划，并拒绝将LTL的破产重整申请视为恶意申请而驳回，其分析如下：</w:t>
      </w:r>
    </w:p>
    <w:p>
      <w:pPr>
        <w:pStyle w:val="4"/>
        <w:spacing w:before="4"/>
        <w:rPr>
          <w:sz w:val="27"/>
        </w:rPr>
      </w:pPr>
    </w:p>
    <w:p>
      <w:pPr>
        <w:pStyle w:val="8"/>
        <w:numPr>
          <w:ilvl w:val="0"/>
          <w:numId w:val="4"/>
        </w:numPr>
        <w:tabs>
          <w:tab w:val="left" w:pos="1200"/>
        </w:tabs>
        <w:spacing w:before="0" w:after="0" w:line="364" w:lineRule="auto"/>
        <w:ind w:left="220" w:right="967" w:firstLine="559"/>
        <w:jc w:val="both"/>
        <w:rPr>
          <w:sz w:val="28"/>
        </w:rPr>
      </w:pPr>
      <w:bookmarkStart w:id="6" w:name="1. 该申请具有有效的重组目的。一是LTL的破产申请可以使得索赔人实现价值最大化"/>
      <w:bookmarkEnd w:id="6"/>
      <w:bookmarkStart w:id="7" w:name="1. 该申请具有有效的重组目的。一是LTL的破产申请可以使得索赔人实现价值最大化"/>
      <w:bookmarkEnd w:id="7"/>
      <w:r>
        <w:rPr>
          <w:color w:val="202020"/>
          <w:spacing w:val="-3"/>
          <w:sz w:val="28"/>
        </w:rPr>
        <w:t>该申请具有有效的重组目的。一是</w:t>
      </w:r>
      <w:r>
        <w:rPr>
          <w:color w:val="202020"/>
          <w:sz w:val="28"/>
        </w:rPr>
        <w:t>LTL</w:t>
      </w:r>
      <w:r>
        <w:rPr>
          <w:color w:val="202020"/>
          <w:spacing w:val="-3"/>
          <w:sz w:val="28"/>
        </w:rPr>
        <w:t>的破产申请可以使得索赔人实现价值最大化，确保现在及未来滑石粉索赔人的利益平衡。同时还可维持经营中的强生公司。</w:t>
      </w:r>
    </w:p>
    <w:p>
      <w:pPr>
        <w:pStyle w:val="4"/>
        <w:spacing w:before="11"/>
        <w:rPr>
          <w:sz w:val="26"/>
        </w:rPr>
      </w:pPr>
    </w:p>
    <w:p>
      <w:pPr>
        <w:pStyle w:val="8"/>
        <w:numPr>
          <w:ilvl w:val="0"/>
          <w:numId w:val="4"/>
        </w:numPr>
        <w:tabs>
          <w:tab w:val="left" w:pos="1340"/>
        </w:tabs>
        <w:spacing w:before="0" w:after="0" w:line="364" w:lineRule="auto"/>
        <w:ind w:left="220" w:right="967" w:firstLine="559"/>
        <w:jc w:val="both"/>
        <w:rPr>
          <w:sz w:val="28"/>
        </w:rPr>
      </w:pPr>
      <w:bookmarkStart w:id="8" w:name="2.  该申请具有透明度。从一开始，强生公司就表示需要利用破产来解决滑石粉产品责"/>
      <w:bookmarkEnd w:id="8"/>
      <w:bookmarkStart w:id="9" w:name="2.  该申请具有透明度。从一开始，强生公司就表示需要利用破产来解决滑石粉产品责"/>
      <w:bookmarkEnd w:id="9"/>
      <w:r>
        <w:rPr>
          <w:color w:val="202020"/>
          <w:spacing w:val="-3"/>
          <w:sz w:val="28"/>
        </w:rPr>
        <w:t>该申请具有透明度。从一开始，强生公司就表示需要利用破产来解决滑石粉产品责任并延续强生公司业务，并且以公平有效的方式解决当前和未来的索赔。</w:t>
      </w:r>
    </w:p>
    <w:p>
      <w:pPr>
        <w:spacing w:after="0" w:line="364" w:lineRule="auto"/>
        <w:jc w:val="both"/>
        <w:rPr>
          <w:sz w:val="28"/>
        </w:rPr>
        <w:sectPr>
          <w:pgSz w:w="11910" w:h="16840"/>
          <w:pgMar w:top="1600" w:right="1060" w:bottom="980" w:left="1260" w:header="1148" w:footer="793" w:gutter="0"/>
          <w:pgNumType w:fmt="decimal"/>
          <w:cols w:space="720" w:num="1"/>
        </w:sectPr>
      </w:pPr>
    </w:p>
    <w:p>
      <w:pPr>
        <w:pStyle w:val="4"/>
        <w:rPr>
          <w:sz w:val="20"/>
        </w:rPr>
      </w:pPr>
    </w:p>
    <w:p>
      <w:pPr>
        <w:pStyle w:val="4"/>
        <w:rPr>
          <w:sz w:val="27"/>
        </w:rPr>
      </w:pPr>
    </w:p>
    <w:p>
      <w:pPr>
        <w:pStyle w:val="8"/>
        <w:numPr>
          <w:ilvl w:val="0"/>
          <w:numId w:val="4"/>
        </w:numPr>
        <w:tabs>
          <w:tab w:val="left" w:pos="1339"/>
          <w:tab w:val="left" w:pos="1340"/>
        </w:tabs>
        <w:spacing w:before="62" w:after="0" w:line="364" w:lineRule="auto"/>
        <w:ind w:left="220" w:right="967" w:firstLine="559"/>
        <w:jc w:val="left"/>
        <w:rPr>
          <w:sz w:val="28"/>
        </w:rPr>
      </w:pPr>
      <w:bookmarkStart w:id="10" w:name="3.  该申请具有必要性。债务人和强生公司现在面临将近40000起未决侵权索赔，"/>
      <w:bookmarkEnd w:id="10"/>
      <w:bookmarkStart w:id="11" w:name="3.  该申请具有必要性。债务人和强生公司现在面临将近40000起未决侵权索赔，"/>
      <w:bookmarkEnd w:id="11"/>
      <w:r>
        <w:rPr>
          <w:color w:val="202020"/>
          <w:spacing w:val="-3"/>
          <w:sz w:val="28"/>
        </w:rPr>
        <w:t>该申请具有必要性。债务人和强生公司现在面临将近</w:t>
      </w:r>
      <w:r>
        <w:rPr>
          <w:color w:val="202020"/>
          <w:sz w:val="28"/>
        </w:rPr>
        <w:t xml:space="preserve">40000 </w:t>
      </w:r>
      <w:r>
        <w:rPr>
          <w:color w:val="202020"/>
          <w:spacing w:val="-3"/>
          <w:sz w:val="28"/>
        </w:rPr>
        <w:t>起未决侵权索赔，预计未来几十年每年还会增加数千起。自</w:t>
      </w:r>
      <w:r>
        <w:rPr>
          <w:color w:val="202020"/>
          <w:sz w:val="28"/>
        </w:rPr>
        <w:t xml:space="preserve">2018年6 </w:t>
      </w:r>
      <w:r>
        <w:rPr>
          <w:color w:val="202020"/>
          <w:spacing w:val="-2"/>
          <w:sz w:val="28"/>
        </w:rPr>
        <w:t>月以来，</w:t>
      </w:r>
      <w:r>
        <w:rPr>
          <w:color w:val="202020"/>
          <w:sz w:val="28"/>
        </w:rPr>
        <w:t>13</w:t>
      </w:r>
      <w:r>
        <w:rPr>
          <w:color w:val="202020"/>
          <w:spacing w:val="-3"/>
          <w:sz w:val="28"/>
        </w:rPr>
        <w:t>起关于爽身粉导致间皮瘤的判决已判处强生公司承担</w:t>
      </w:r>
      <w:r>
        <w:rPr>
          <w:color w:val="202020"/>
          <w:spacing w:val="-1"/>
          <w:sz w:val="28"/>
        </w:rPr>
        <w:t>3.206</w:t>
      </w:r>
      <w:r>
        <w:rPr>
          <w:color w:val="202020"/>
          <w:spacing w:val="-3"/>
          <w:sz w:val="28"/>
        </w:rPr>
        <w:t>亿美元的惩罚性赔偿金和</w:t>
      </w:r>
      <w:r>
        <w:rPr>
          <w:color w:val="202020"/>
          <w:spacing w:val="-1"/>
          <w:sz w:val="28"/>
        </w:rPr>
        <w:t>1.552</w:t>
      </w:r>
      <w:r>
        <w:rPr>
          <w:color w:val="202020"/>
          <w:spacing w:val="-3"/>
          <w:sz w:val="28"/>
        </w:rPr>
        <w:t>亿美元的补偿性赔偿金，平均每</w:t>
      </w:r>
      <w:r>
        <w:rPr>
          <w:color w:val="202020"/>
          <w:spacing w:val="-1"/>
          <w:sz w:val="28"/>
        </w:rPr>
        <w:t xml:space="preserve">案索赔 </w:t>
      </w:r>
      <w:r>
        <w:rPr>
          <w:color w:val="202020"/>
          <w:sz w:val="28"/>
        </w:rPr>
        <w:t>3660</w:t>
      </w:r>
      <w:r>
        <w:rPr>
          <w:color w:val="202020"/>
          <w:spacing w:val="-3"/>
          <w:sz w:val="28"/>
        </w:rPr>
        <w:t xml:space="preserve"> 万美元；预计未来间皮瘤问题还将为强生公司带来</w:t>
      </w:r>
      <w:r>
        <w:rPr>
          <w:color w:val="202020"/>
          <w:sz w:val="28"/>
        </w:rPr>
        <w:t xml:space="preserve">150 </w:t>
      </w:r>
      <w:r>
        <w:rPr>
          <w:color w:val="202020"/>
          <w:spacing w:val="-3"/>
          <w:sz w:val="28"/>
        </w:rPr>
        <w:t xml:space="preserve">亿美元的诉讼风险，其中还不包括数以万计的卵巢癌索赔案。同时强生公司还面临滑石粉供应商的赔偿要求，赔偿金额约为 </w:t>
      </w:r>
      <w:r>
        <w:rPr>
          <w:color w:val="202020"/>
          <w:sz w:val="28"/>
        </w:rPr>
        <w:t>250</w:t>
      </w:r>
      <w:r>
        <w:rPr>
          <w:color w:val="202020"/>
          <w:spacing w:val="-1"/>
          <w:sz w:val="28"/>
        </w:rPr>
        <w:t xml:space="preserve"> 亿至1182</w:t>
      </w:r>
      <w:r>
        <w:rPr>
          <w:color w:val="202020"/>
          <w:spacing w:val="-3"/>
          <w:sz w:val="28"/>
        </w:rPr>
        <w:t xml:space="preserve"> 亿美元。</w:t>
      </w:r>
    </w:p>
    <w:p>
      <w:pPr>
        <w:pStyle w:val="4"/>
      </w:pPr>
    </w:p>
    <w:p>
      <w:pPr>
        <w:pStyle w:val="4"/>
        <w:spacing w:before="9"/>
        <w:rPr>
          <w:sz w:val="23"/>
        </w:rPr>
      </w:pPr>
    </w:p>
    <w:p>
      <w:pPr>
        <w:pStyle w:val="8"/>
        <w:numPr>
          <w:ilvl w:val="0"/>
          <w:numId w:val="4"/>
        </w:numPr>
        <w:tabs>
          <w:tab w:val="left" w:pos="1339"/>
          <w:tab w:val="left" w:pos="1340"/>
        </w:tabs>
        <w:spacing w:before="1" w:after="0" w:line="364" w:lineRule="auto"/>
        <w:ind w:left="220" w:right="967" w:firstLine="559"/>
        <w:jc w:val="left"/>
        <w:rPr>
          <w:sz w:val="28"/>
        </w:rPr>
      </w:pPr>
      <w:bookmarkStart w:id="12" w:name="4.  该申请完全符合《破产法》的功能。强生可以适用《破产法》362条“自动中止"/>
      <w:bookmarkEnd w:id="12"/>
      <w:bookmarkStart w:id="13" w:name="4.  该申请完全符合《破产法》的功能。强生可以适用《破产法》362条“自动中止"/>
      <w:bookmarkEnd w:id="13"/>
      <w:r>
        <w:rPr>
          <w:color w:val="202020"/>
          <w:spacing w:val="-3"/>
          <w:sz w:val="28"/>
        </w:rPr>
        <w:t>该申请完全符合《破产法》的功能。强生可以适用《破产 法》</w:t>
      </w:r>
      <w:r>
        <w:rPr>
          <w:color w:val="202020"/>
          <w:sz w:val="28"/>
        </w:rPr>
        <w:t>362</w:t>
      </w:r>
      <w:r>
        <w:rPr>
          <w:color w:val="202020"/>
          <w:spacing w:val="-3"/>
          <w:sz w:val="28"/>
        </w:rPr>
        <w:t>条“自动中止条款”，所有针对债务人的追偿行为和诉讼程序均会停止。同时，债权人还可获得索赔津贴并且有机会就大规模侵权诉讼的全球解决方案开启谈判。</w:t>
      </w:r>
    </w:p>
    <w:p>
      <w:pPr>
        <w:pStyle w:val="4"/>
      </w:pPr>
    </w:p>
    <w:p>
      <w:pPr>
        <w:pStyle w:val="4"/>
        <w:spacing w:before="11"/>
        <w:rPr>
          <w:sz w:val="23"/>
        </w:rPr>
      </w:pPr>
    </w:p>
    <w:p>
      <w:pPr>
        <w:pStyle w:val="8"/>
        <w:numPr>
          <w:ilvl w:val="0"/>
          <w:numId w:val="4"/>
        </w:numPr>
        <w:tabs>
          <w:tab w:val="left" w:pos="1340"/>
        </w:tabs>
        <w:spacing w:before="0" w:after="0" w:line="364" w:lineRule="auto"/>
        <w:ind w:left="220" w:right="967" w:firstLine="559"/>
        <w:jc w:val="both"/>
        <w:rPr>
          <w:sz w:val="28"/>
        </w:rPr>
      </w:pPr>
      <w:bookmarkStart w:id="14" w:name="5.  该申请可以保护公司现有价值。新强生公司是一家盈利的健康产品、消费品和药品"/>
      <w:bookmarkEnd w:id="14"/>
      <w:bookmarkStart w:id="15" w:name="5.  该申请可以保护公司现有价值。新强生公司是一家盈利的健康产品、消费品和药品"/>
      <w:bookmarkEnd w:id="15"/>
      <w:r>
        <w:rPr>
          <w:color w:val="202020"/>
          <w:spacing w:val="-3"/>
          <w:sz w:val="28"/>
        </w:rPr>
        <w:t>该申请可以保护公司现有价值。新强生公司是一家盈利的健康产品、消费品和药品供应商，在全球拥有超过</w:t>
      </w:r>
      <w:r>
        <w:rPr>
          <w:color w:val="202020"/>
          <w:sz w:val="28"/>
        </w:rPr>
        <w:t>13</w:t>
      </w:r>
      <w:r>
        <w:rPr>
          <w:color w:val="202020"/>
          <w:spacing w:val="-3"/>
          <w:sz w:val="28"/>
        </w:rPr>
        <w:t>万名员工，公司价值的存续依赖于持续的成功运营。若强生企业破产，不仅对受害者及其家人没有好处，并且会牵连无辜第三方</w:t>
      </w:r>
      <w:r>
        <w:rPr>
          <w:color w:val="202020"/>
          <w:sz w:val="28"/>
        </w:rPr>
        <w:t>（</w:t>
      </w:r>
      <w:r>
        <w:rPr>
          <w:color w:val="202020"/>
          <w:spacing w:val="-3"/>
          <w:sz w:val="28"/>
        </w:rPr>
        <w:t>员工、供应商、房东、零</w:t>
      </w:r>
      <w:r>
        <w:rPr>
          <w:color w:val="202020"/>
          <w:spacing w:val="-2"/>
          <w:sz w:val="28"/>
        </w:rPr>
        <w:t>售商等</w:t>
      </w:r>
      <w:r>
        <w:rPr>
          <w:color w:val="202020"/>
          <w:spacing w:val="-1"/>
          <w:sz w:val="28"/>
        </w:rPr>
        <w:t>）</w:t>
      </w:r>
      <w:r>
        <w:rPr>
          <w:color w:val="202020"/>
          <w:spacing w:val="-3"/>
          <w:sz w:val="28"/>
        </w:rPr>
        <w:t>，同时显著增加强生公司申请破产清算的成本和风险。当下的方案可以更好地将资金用于受害者的赔偿。</w:t>
      </w:r>
    </w:p>
    <w:p>
      <w:pPr>
        <w:pStyle w:val="4"/>
      </w:pPr>
    </w:p>
    <w:p>
      <w:pPr>
        <w:pStyle w:val="4"/>
        <w:rPr>
          <w:sz w:val="24"/>
        </w:rPr>
      </w:pPr>
    </w:p>
    <w:p>
      <w:pPr>
        <w:pStyle w:val="8"/>
        <w:numPr>
          <w:ilvl w:val="0"/>
          <w:numId w:val="4"/>
        </w:numPr>
        <w:tabs>
          <w:tab w:val="left" w:pos="1340"/>
        </w:tabs>
        <w:spacing w:before="1" w:after="0" w:line="364" w:lineRule="auto"/>
        <w:ind w:left="220" w:right="967" w:firstLine="559"/>
        <w:jc w:val="both"/>
        <w:rPr>
          <w:sz w:val="28"/>
        </w:rPr>
      </w:pPr>
      <w:bookmarkStart w:id="16" w:name="6.  该申请无意阻碍或拖延赔偿进程。若成功破产，将解决几十年内数十万的人身伤害"/>
      <w:bookmarkEnd w:id="16"/>
      <w:bookmarkStart w:id="17" w:name="6.  该申请无意阻碍或拖延赔偿进程。若成功破产，将解决几十年内数十万的人身伤害"/>
      <w:bookmarkEnd w:id="17"/>
      <w:r>
        <w:rPr>
          <w:color w:val="202020"/>
          <w:spacing w:val="-3"/>
          <w:sz w:val="28"/>
        </w:rPr>
        <w:t>该申请无意阻碍或拖延赔偿进程。若成功破产，将解决几十年内数十万的人身伤害索赔诉讼，并且加快对于滑石粉受害者及其家人的赔偿进程。</w:t>
      </w:r>
    </w:p>
    <w:p>
      <w:pPr>
        <w:spacing w:after="0" w:line="364" w:lineRule="auto"/>
        <w:jc w:val="both"/>
        <w:rPr>
          <w:sz w:val="28"/>
        </w:rPr>
        <w:sectPr>
          <w:pgSz w:w="11910" w:h="16840"/>
          <w:pgMar w:top="1600" w:right="1060" w:bottom="980" w:left="1260" w:header="1148" w:footer="793" w:gutter="0"/>
          <w:pgNumType w:fmt="decimal"/>
          <w:cols w:space="720" w:num="1"/>
        </w:sectPr>
      </w:pPr>
    </w:p>
    <w:p>
      <w:pPr>
        <w:pStyle w:val="4"/>
        <w:rPr>
          <w:sz w:val="20"/>
        </w:rPr>
      </w:pPr>
    </w:p>
    <w:p>
      <w:pPr>
        <w:pStyle w:val="4"/>
        <w:rPr>
          <w:sz w:val="27"/>
        </w:rPr>
      </w:pPr>
    </w:p>
    <w:p>
      <w:pPr>
        <w:pStyle w:val="8"/>
        <w:numPr>
          <w:ilvl w:val="0"/>
          <w:numId w:val="4"/>
        </w:numPr>
        <w:tabs>
          <w:tab w:val="left" w:pos="1339"/>
          <w:tab w:val="left" w:pos="1340"/>
        </w:tabs>
        <w:spacing w:before="62" w:after="0" w:line="364" w:lineRule="auto"/>
        <w:ind w:left="220" w:right="967" w:firstLine="559"/>
        <w:jc w:val="left"/>
        <w:rPr>
          <w:sz w:val="28"/>
        </w:rPr>
      </w:pPr>
      <w:bookmarkStart w:id="18" w:name="7.  基于公平的考虑。法官Kaplan认为其根据《破产法》第105条授权破产法"/>
      <w:bookmarkEnd w:id="18"/>
      <w:bookmarkStart w:id="19" w:name="7.  基于公平的考虑。法官Kaplan认为其根据《破产法》第105条授权破产法"/>
      <w:bookmarkEnd w:id="19"/>
      <w:r>
        <w:rPr>
          <w:color w:val="202020"/>
          <w:spacing w:val="-3"/>
          <w:sz w:val="28"/>
        </w:rPr>
        <w:t>基于公平的考虑。法官</w:t>
      </w:r>
      <w:r>
        <w:rPr>
          <w:color w:val="202020"/>
          <w:sz w:val="28"/>
        </w:rPr>
        <w:t>Kaplan</w:t>
      </w:r>
      <w:r>
        <w:rPr>
          <w:color w:val="202020"/>
          <w:spacing w:val="-3"/>
          <w:sz w:val="28"/>
        </w:rPr>
        <w:t>认为其根据《破产法》第</w:t>
      </w:r>
      <w:r>
        <w:rPr>
          <w:color w:val="202020"/>
          <w:sz w:val="28"/>
        </w:rPr>
        <w:t xml:space="preserve">105 </w:t>
      </w:r>
      <w:r>
        <w:rPr>
          <w:color w:val="202020"/>
          <w:spacing w:val="-3"/>
          <w:sz w:val="28"/>
        </w:rPr>
        <w:t>条授权破产法院“发出任何必要或适当的命令、程序或判决，以执行破产法的规定。”为所有当事方提供了公平公正的结果。</w:t>
      </w:r>
    </w:p>
    <w:p>
      <w:pPr>
        <w:pStyle w:val="4"/>
        <w:spacing w:before="11"/>
        <w:rPr>
          <w:sz w:val="26"/>
        </w:rPr>
      </w:pPr>
    </w:p>
    <w:p>
      <w:pPr>
        <w:pStyle w:val="3"/>
      </w:pPr>
      <w:bookmarkStart w:id="20" w:name="（二）LTL诉索赔人案"/>
      <w:bookmarkEnd w:id="20"/>
      <w:r>
        <w:rPr>
          <w:color w:val="C00000"/>
        </w:rPr>
        <w:t>（二）LTL诉索赔人案</w:t>
      </w:r>
    </w:p>
    <w:p>
      <w:pPr>
        <w:pStyle w:val="4"/>
        <w:spacing w:before="248" w:line="364" w:lineRule="auto"/>
        <w:ind w:left="220" w:right="967" w:firstLine="559"/>
      </w:pPr>
      <w:bookmarkStart w:id="21" w:name="在申请破产重整后不久，LTL又在北卡罗来纳州西区联邦破产法院提起针对索赔债权人的"/>
      <w:bookmarkEnd w:id="21"/>
      <w:r>
        <w:rPr>
          <w:color w:val="202020"/>
        </w:rPr>
        <w:t>在申请破产重整后不久，LTL又在北卡罗来纳州西区联邦破产法院提起针对索赔债权人的对抗性诉讼，其根据“自动中止条款”提出诉求：</w:t>
      </w:r>
    </w:p>
    <w:p>
      <w:pPr>
        <w:pStyle w:val="8"/>
        <w:numPr>
          <w:ilvl w:val="0"/>
          <w:numId w:val="5"/>
        </w:numPr>
        <w:tabs>
          <w:tab w:val="left" w:pos="1339"/>
          <w:tab w:val="left" w:pos="1340"/>
        </w:tabs>
        <w:spacing w:before="61" w:after="0" w:line="364" w:lineRule="auto"/>
        <w:ind w:left="220" w:right="967" w:firstLine="559"/>
        <w:jc w:val="left"/>
        <w:rPr>
          <w:sz w:val="28"/>
        </w:rPr>
      </w:pPr>
      <w:bookmarkStart w:id="22" w:name="1.  宣告自动中止所有针对非债务人（新强生公司）的滑石粉侵权诉讼；"/>
      <w:bookmarkEnd w:id="22"/>
      <w:bookmarkStart w:id="23" w:name="1.  宣告自动中止所有针对非债务人（新强生公司）的滑石粉侵权诉讼；"/>
      <w:bookmarkEnd w:id="23"/>
      <w:r>
        <w:rPr>
          <w:color w:val="202020"/>
          <w:spacing w:val="-3"/>
          <w:sz w:val="28"/>
        </w:rPr>
        <w:t>宣告自动中止所有针对非债务人</w:t>
      </w:r>
      <w:r>
        <w:rPr>
          <w:color w:val="202020"/>
          <w:sz w:val="28"/>
        </w:rPr>
        <w:t>（</w:t>
      </w:r>
      <w:r>
        <w:rPr>
          <w:color w:val="202020"/>
          <w:spacing w:val="-3"/>
          <w:sz w:val="28"/>
        </w:rPr>
        <w:t>新强生公司</w:t>
      </w:r>
      <w:r>
        <w:rPr>
          <w:color w:val="202020"/>
          <w:sz w:val="28"/>
        </w:rPr>
        <w:t>）</w:t>
      </w:r>
      <w:r>
        <w:rPr>
          <w:color w:val="202020"/>
          <w:spacing w:val="-2"/>
          <w:sz w:val="28"/>
        </w:rPr>
        <w:t>的滑石粉侵权诉讼；</w:t>
      </w:r>
    </w:p>
    <w:p>
      <w:pPr>
        <w:pStyle w:val="8"/>
        <w:numPr>
          <w:ilvl w:val="0"/>
          <w:numId w:val="5"/>
        </w:numPr>
        <w:tabs>
          <w:tab w:val="left" w:pos="1339"/>
          <w:tab w:val="left" w:pos="1340"/>
        </w:tabs>
        <w:spacing w:before="61" w:after="0" w:line="362" w:lineRule="auto"/>
        <w:ind w:left="220" w:right="967" w:firstLine="559"/>
        <w:jc w:val="left"/>
        <w:rPr>
          <w:sz w:val="28"/>
        </w:rPr>
      </w:pPr>
      <w:r>
        <w:drawing>
          <wp:anchor distT="0" distB="0" distL="0" distR="0" simplePos="0" relativeHeight="251660288" behindDoc="0" locked="0" layoutInCell="1" allowOverlap="1">
            <wp:simplePos x="0" y="0"/>
            <wp:positionH relativeFrom="page">
              <wp:posOffset>1143000</wp:posOffset>
            </wp:positionH>
            <wp:positionV relativeFrom="paragraph">
              <wp:posOffset>767080</wp:posOffset>
            </wp:positionV>
            <wp:extent cx="5658485" cy="3482975"/>
            <wp:effectExtent l="0" t="0" r="0" b="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jpeg"/>
                    <pic:cNvPicPr>
                      <a:picLocks noChangeAspect="1"/>
                    </pic:cNvPicPr>
                  </pic:nvPicPr>
                  <pic:blipFill>
                    <a:blip r:embed="rId29" cstate="print"/>
                    <a:stretch>
                      <a:fillRect/>
                    </a:stretch>
                  </pic:blipFill>
                  <pic:spPr>
                    <a:xfrm>
                      <a:off x="0" y="0"/>
                      <a:ext cx="5658661" cy="3482721"/>
                    </a:xfrm>
                    <a:prstGeom prst="rect">
                      <a:avLst/>
                    </a:prstGeom>
                  </pic:spPr>
                </pic:pic>
              </a:graphicData>
            </a:graphic>
          </wp:anchor>
        </w:drawing>
      </w:r>
      <w:bookmarkStart w:id="24" w:name="2.  初步禁止索赔人的诉讼行为并在最终听证会之前授予临时限制令。"/>
      <w:bookmarkEnd w:id="24"/>
      <w:bookmarkStart w:id="25" w:name="2.  初步禁止索赔人的诉讼行为并在最终听证会之前授予临时限制令。"/>
      <w:bookmarkEnd w:id="25"/>
      <w:r>
        <w:rPr>
          <w:color w:val="202020"/>
          <w:spacing w:val="-3"/>
          <w:sz w:val="28"/>
        </w:rPr>
        <w:t>初步禁止索赔人的诉讼行为并在最终听证会之前授予临时限</w:t>
      </w:r>
      <w:r>
        <w:rPr>
          <w:color w:val="202020"/>
          <w:spacing w:val="-2"/>
          <w:sz w:val="28"/>
        </w:rPr>
        <w:t>制令。</w:t>
      </w:r>
    </w:p>
    <w:p>
      <w:pPr>
        <w:spacing w:after="0" w:line="362" w:lineRule="auto"/>
        <w:jc w:val="left"/>
        <w:rPr>
          <w:sz w:val="28"/>
        </w:rPr>
        <w:sectPr>
          <w:pgSz w:w="11910" w:h="16840"/>
          <w:pgMar w:top="1600" w:right="1060" w:bottom="980" w:left="1260" w:header="1148" w:footer="793" w:gutter="0"/>
          <w:pgNumType w:fmt="decimal"/>
          <w:cols w:space="720" w:num="1"/>
        </w:sectPr>
      </w:pPr>
    </w:p>
    <w:p>
      <w:pPr>
        <w:pStyle w:val="4"/>
        <w:spacing w:before="57" w:line="364" w:lineRule="auto"/>
        <w:ind w:left="540" w:right="926" w:firstLine="559"/>
      </w:pPr>
      <w:bookmarkStart w:id="26" w:name="之后，北卡罗来纳州西区联邦破产法院于2021年11月4日和5日举行了为期两天的听"/>
      <w:bookmarkEnd w:id="26"/>
      <w:r>
        <w:rPr>
          <w:color w:val="202020"/>
        </w:rPr>
        <w:t>之后，北卡罗来纳州西区联邦破产法院于2021年11月4日和5日举行了为期两天的听证会。北卡罗来纳州西区联邦破产法院法官Craig Whitley最终批准了初步禁止动议，因此根据破产法第105条和第362条，所有索赔债权人在60天内被禁止向强生公司提起任何有关滑石粉侵权的诉讼。随后，案件被移交至新泽西地区联邦破产法院。</w:t>
      </w:r>
    </w:p>
    <w:p>
      <w:pPr>
        <w:pStyle w:val="4"/>
      </w:pPr>
    </w:p>
    <w:p>
      <w:pPr>
        <w:pStyle w:val="4"/>
        <w:spacing w:before="10"/>
        <w:rPr>
          <w:sz w:val="23"/>
        </w:rPr>
      </w:pPr>
    </w:p>
    <w:p>
      <w:pPr>
        <w:pStyle w:val="4"/>
        <w:spacing w:before="1" w:line="364" w:lineRule="auto"/>
        <w:ind w:left="540" w:right="1346" w:firstLine="559"/>
        <w:rPr>
          <w:b/>
        </w:rPr>
      </w:pPr>
      <w:bookmarkStart w:id="27" w:name="在审理过后，2022年2月25日新泽西地区联邦破产法院法官Michael Kap"/>
      <w:bookmarkEnd w:id="27"/>
      <w:r>
        <w:rPr>
          <w:color w:val="202020"/>
        </w:rPr>
        <w:t>在审理过后，2022年2月25日新泽西地区联邦破产法院法官Michael Kaplan</w:t>
      </w:r>
      <w:r>
        <w:rPr>
          <w:b/>
          <w:color w:val="202020"/>
        </w:rPr>
        <w:t>裁定强生公司胜诉。</w:t>
      </w:r>
    </w:p>
    <w:p>
      <w:pPr>
        <w:pStyle w:val="4"/>
        <w:spacing w:before="1"/>
        <w:rPr>
          <w:b/>
          <w:sz w:val="38"/>
        </w:rPr>
      </w:pPr>
    </w:p>
    <w:p>
      <w:pPr>
        <w:pStyle w:val="4"/>
        <w:spacing w:line="364" w:lineRule="auto"/>
        <w:ind w:left="540" w:right="926" w:firstLine="559"/>
      </w:pPr>
      <w:r>
        <w:drawing>
          <wp:anchor distT="0" distB="0" distL="0" distR="0" simplePos="0" relativeHeight="251660288" behindDoc="0" locked="0" layoutInCell="1" allowOverlap="1">
            <wp:simplePos x="0" y="0"/>
            <wp:positionH relativeFrom="page">
              <wp:posOffset>1143000</wp:posOffset>
            </wp:positionH>
            <wp:positionV relativeFrom="paragraph">
              <wp:posOffset>1766570</wp:posOffset>
            </wp:positionV>
            <wp:extent cx="5658485" cy="3169285"/>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jpeg"/>
                    <pic:cNvPicPr>
                      <a:picLocks noChangeAspect="1"/>
                    </pic:cNvPicPr>
                  </pic:nvPicPr>
                  <pic:blipFill>
                    <a:blip r:embed="rId30" cstate="print"/>
                    <a:stretch>
                      <a:fillRect/>
                    </a:stretch>
                  </pic:blipFill>
                  <pic:spPr>
                    <a:xfrm>
                      <a:off x="0" y="0"/>
                      <a:ext cx="5658527" cy="3169443"/>
                    </a:xfrm>
                    <a:prstGeom prst="rect">
                      <a:avLst/>
                    </a:prstGeom>
                  </pic:spPr>
                </pic:pic>
              </a:graphicData>
            </a:graphic>
          </wp:anchor>
        </w:drawing>
      </w:r>
      <w:bookmarkStart w:id="28" w:name="至此，LTL在两起案件中均取得胜利，随后索赔人对两案均提起了上诉。2022年5月"/>
      <w:bookmarkEnd w:id="28"/>
      <w:r>
        <w:rPr>
          <w:color w:val="202020"/>
        </w:rPr>
        <w:t>至此，LTL在两起案件中均取得胜利，随后索赔人对两案均提起了上诉。2022年5月11日，法官Kaplan的态度发生转变，批准了对于上述两案的加速上诉，允许它跳过地方法院，直接上诉到美国第三巡回上诉法院，当下美国第三巡回上诉法院已同意重新审查此案。目前上诉案仍在审理中。</w:t>
      </w:r>
    </w:p>
    <w:p>
      <w:pPr>
        <w:spacing w:after="0" w:line="364" w:lineRule="auto"/>
        <w:sectPr>
          <w:pgSz w:w="11910" w:h="16840"/>
          <w:pgMar w:top="1600" w:right="1060" w:bottom="980" w:left="1260" w:header="1148" w:footer="793" w:gutter="0"/>
          <w:pgNumType w:fmt="decimal"/>
          <w:cols w:space="720" w:num="1"/>
        </w:sectPr>
      </w:pPr>
    </w:p>
    <w:p>
      <w:pPr>
        <w:pStyle w:val="4"/>
        <w:spacing w:before="57" w:line="364" w:lineRule="auto"/>
        <w:ind w:left="220" w:right="967" w:firstLine="559"/>
      </w:pPr>
      <w:bookmarkStart w:id="29" w:name="祸不单行，新强生公司当下还面临另外一起石棉侵权诉讼。早在1986年，一名男子起诉"/>
      <w:bookmarkEnd w:id="29"/>
      <w:r>
        <w:rPr>
          <w:color w:val="202020"/>
          <w:spacing w:val="-3"/>
        </w:rPr>
        <w:t>祸不单行，新强生公司当下还面临另外一起石棉侵权诉讼。早在</w:t>
      </w:r>
      <w:r>
        <w:rPr>
          <w:color w:val="202020"/>
          <w:spacing w:val="-1"/>
        </w:rPr>
        <w:t>1986</w:t>
      </w:r>
      <w:r>
        <w:rPr>
          <w:color w:val="202020"/>
          <w:spacing w:val="-3"/>
        </w:rPr>
        <w:t>年，一名男子起诉强生公司，其声称由于在原强生公司旗下的温莎矿产公司工作，长时间暴露于受污染的滑石粉当中，引起了肺病， 但是该案最终被撤销。之后，原强生公司于</w:t>
      </w:r>
      <w:r>
        <w:rPr>
          <w:color w:val="202020"/>
        </w:rPr>
        <w:t>1989</w:t>
      </w:r>
      <w:r>
        <w:rPr>
          <w:color w:val="202020"/>
          <w:spacing w:val="-3"/>
        </w:rPr>
        <w:t>年出售了这一公司， 该男子于</w:t>
      </w:r>
      <w:r>
        <w:rPr>
          <w:color w:val="202020"/>
          <w:spacing w:val="-1"/>
        </w:rPr>
        <w:t>1994</w:t>
      </w:r>
      <w:r>
        <w:rPr>
          <w:color w:val="202020"/>
          <w:spacing w:val="-3"/>
        </w:rPr>
        <w:t xml:space="preserve">年去世。最近，该男子的家人提起上诉要求重新审理此案，他们声称已掌握的新证据表明温莎矿产公司隐瞒了测试结果并伪造了证据。新强生公司辩称这起案件应当同样适用于“自动中止条 </w:t>
      </w:r>
      <w:r>
        <w:rPr>
          <w:color w:val="202020"/>
          <w:spacing w:val="-2"/>
        </w:rPr>
        <w:t>款”，然而</w:t>
      </w:r>
      <w:r>
        <w:rPr>
          <w:color w:val="202020"/>
        </w:rPr>
        <w:t>Kaplan</w:t>
      </w:r>
      <w:r>
        <w:rPr>
          <w:color w:val="202020"/>
          <w:spacing w:val="-3"/>
        </w:rPr>
        <w:t>法官最终裁定这起案件不适用于</w:t>
      </w:r>
      <w:r>
        <w:rPr>
          <w:color w:val="202020"/>
        </w:rPr>
        <w:t>LTL</w:t>
      </w:r>
      <w:r>
        <w:rPr>
          <w:color w:val="202020"/>
          <w:spacing w:val="-3"/>
        </w:rPr>
        <w:t>的破产重整计划。据媒体报道，在</w:t>
      </w:r>
      <w:r>
        <w:rPr>
          <w:color w:val="202020"/>
          <w:spacing w:val="-1"/>
        </w:rPr>
        <w:t>1980</w:t>
      </w:r>
      <w:r>
        <w:rPr>
          <w:color w:val="202020"/>
          <w:spacing w:val="-3"/>
        </w:rPr>
        <w:t>年代就有超过</w:t>
      </w:r>
      <w:r>
        <w:rPr>
          <w:color w:val="202020"/>
        </w:rPr>
        <w:t>1000</w:t>
      </w:r>
      <w:r>
        <w:rPr>
          <w:color w:val="202020"/>
          <w:spacing w:val="-3"/>
        </w:rPr>
        <w:t>人向原强生公司提起了类似的诉讼，</w:t>
      </w:r>
      <w:r>
        <w:rPr>
          <w:b/>
          <w:color w:val="202020"/>
        </w:rPr>
        <w:t>这一裁决将导致新强生公司陷入新的集体诉讼狂潮</w:t>
      </w:r>
      <w:r>
        <w:rPr>
          <w:color w:val="202020"/>
        </w:rPr>
        <w:t>。</w:t>
      </w:r>
    </w:p>
    <w:p>
      <w:pPr>
        <w:pStyle w:val="4"/>
      </w:pPr>
    </w:p>
    <w:p>
      <w:pPr>
        <w:pStyle w:val="4"/>
        <w:spacing w:before="7"/>
        <w:rPr>
          <w:sz w:val="25"/>
        </w:rPr>
      </w:pPr>
    </w:p>
    <w:p>
      <w:pPr>
        <w:pStyle w:val="4"/>
        <w:spacing w:line="364" w:lineRule="auto"/>
        <w:ind w:left="220" w:right="547" w:firstLine="559"/>
      </w:pPr>
      <w:r>
        <w:rPr>
          <w:color w:val="202020"/>
        </w:rPr>
        <w:t>金蝉脱壳的逃跑手段在大规模侵权诉讼中俯拾皆是，然而强生这一次未能以LTL公司的外在形式稳住索赔人，反而因一系列设计招致大量批判。究竟结果如何，还需要持续关注上诉案的审理进程。</w:t>
      </w:r>
    </w:p>
    <w:p>
      <w:pPr>
        <w:pStyle w:val="4"/>
      </w:pPr>
    </w:p>
    <w:p>
      <w:pPr>
        <w:pStyle w:val="4"/>
        <w:spacing w:before="4"/>
        <w:rPr>
          <w:sz w:val="21"/>
        </w:rPr>
      </w:pPr>
    </w:p>
    <w:p>
      <w:pPr>
        <w:pStyle w:val="3"/>
        <w:ind w:left="1096"/>
      </w:pPr>
      <w:bookmarkStart w:id="30" w:name="参考文献"/>
      <w:bookmarkEnd w:id="30"/>
      <w:r>
        <w:rPr>
          <w:color w:val="C00000"/>
        </w:rPr>
        <w:t>参考文献</w:t>
      </w:r>
    </w:p>
    <w:p>
      <w:pPr>
        <w:pStyle w:val="8"/>
        <w:numPr>
          <w:ilvl w:val="1"/>
          <w:numId w:val="5"/>
        </w:numPr>
        <w:tabs>
          <w:tab w:val="left" w:pos="1380"/>
        </w:tabs>
        <w:spacing w:before="249" w:after="0" w:line="362" w:lineRule="auto"/>
        <w:ind w:left="537" w:right="928" w:firstLine="559"/>
        <w:jc w:val="left"/>
        <w:rPr>
          <w:sz w:val="28"/>
        </w:rPr>
      </w:pPr>
      <w:bookmarkStart w:id="31" w:name="1.陈夏红：《从康美药业重整看大规模侵权的破产法应对》，载《中国法律评论》202"/>
      <w:bookmarkEnd w:id="31"/>
      <w:bookmarkStart w:id="32" w:name="1.陈夏红：《从康美药业重整看大规模侵权的破产法应对》，载《中国法律评论》202"/>
      <w:bookmarkEnd w:id="32"/>
      <w:r>
        <w:rPr>
          <w:color w:val="202020"/>
          <w:spacing w:val="-3"/>
          <w:sz w:val="28"/>
        </w:rPr>
        <w:t>陈夏红：《从康美药业重整看大规模侵权的破产法应对》， 载《中国法律评论》</w:t>
      </w:r>
      <w:r>
        <w:rPr>
          <w:color w:val="202020"/>
          <w:sz w:val="28"/>
        </w:rPr>
        <w:t>2022</w:t>
      </w:r>
      <w:r>
        <w:rPr>
          <w:color w:val="202020"/>
          <w:spacing w:val="-2"/>
          <w:sz w:val="28"/>
        </w:rPr>
        <w:t>年第</w:t>
      </w:r>
      <w:r>
        <w:rPr>
          <w:color w:val="202020"/>
          <w:sz w:val="28"/>
        </w:rPr>
        <w:t>1期。</w:t>
      </w:r>
    </w:p>
    <w:p>
      <w:pPr>
        <w:pStyle w:val="8"/>
        <w:numPr>
          <w:ilvl w:val="1"/>
          <w:numId w:val="5"/>
        </w:numPr>
        <w:tabs>
          <w:tab w:val="left" w:pos="1380"/>
        </w:tabs>
        <w:spacing w:before="66" w:after="0" w:line="364" w:lineRule="auto"/>
        <w:ind w:left="537" w:right="1071" w:firstLine="559"/>
        <w:jc w:val="left"/>
        <w:rPr>
          <w:sz w:val="28"/>
        </w:rPr>
      </w:pPr>
      <w:bookmarkStart w:id="33" w:name="2.LTL Management, LLC, Plaintiff. v. Tho"/>
      <w:bookmarkEnd w:id="33"/>
      <w:bookmarkStart w:id="34" w:name="2.LTL Management, LLC, Plaintiff. v. Tho"/>
      <w:bookmarkEnd w:id="34"/>
      <w:r>
        <w:rPr>
          <w:color w:val="202020"/>
          <w:sz w:val="28"/>
        </w:rPr>
        <w:t>LTL Management, LLC, Plaintiff. v. Those Parties Listed on Apppendix a to Complaint and John and Jane Does 1-1000, Defendants, 638 B.R.</w:t>
      </w:r>
      <w:r>
        <w:rPr>
          <w:color w:val="202020"/>
          <w:spacing w:val="-9"/>
          <w:sz w:val="28"/>
        </w:rPr>
        <w:t xml:space="preserve"> </w:t>
      </w:r>
      <w:r>
        <w:rPr>
          <w:color w:val="202020"/>
          <w:sz w:val="28"/>
        </w:rPr>
        <w:t>291.</w:t>
      </w:r>
    </w:p>
    <w:p>
      <w:pPr>
        <w:pStyle w:val="4"/>
        <w:spacing w:before="2"/>
        <w:rPr>
          <w:sz w:val="22"/>
        </w:rPr>
      </w:pPr>
    </w:p>
    <w:p>
      <w:pPr>
        <w:pStyle w:val="4"/>
        <w:spacing w:line="360" w:lineRule="auto"/>
        <w:ind w:left="780"/>
        <w:rPr>
          <w:color w:val="202020"/>
        </w:rPr>
      </w:pPr>
      <w:r>
        <w:rPr>
          <w:color w:val="202020"/>
        </w:rPr>
        <w:t>来源：破产法快讯公众号</w:t>
      </w:r>
    </w:p>
    <w:p>
      <w:pPr>
        <w:pStyle w:val="4"/>
        <w:spacing w:line="360" w:lineRule="auto"/>
        <w:ind w:left="780"/>
        <w:rPr>
          <w:color w:val="202020"/>
        </w:rPr>
      </w:pPr>
      <w:r>
        <w:rPr>
          <w:rFonts w:hint="eastAsia"/>
          <w:color w:val="202020"/>
        </w:rPr>
        <w:t>https://mp.weixin.qq.com/s/US-jtkcuzvOkV-c-MwHIkg</w:t>
      </w:r>
    </w:p>
    <w:p>
      <w:pPr>
        <w:spacing w:after="0" w:line="360" w:lineRule="auto"/>
        <w:sectPr>
          <w:pgSz w:w="11910" w:h="16840"/>
          <w:pgMar w:top="1600" w:right="1060" w:bottom="980" w:left="1260" w:header="1148" w:footer="793" w:gutter="0"/>
          <w:pgNumType w:fmt="decimal"/>
          <w:cols w:space="720" w:num="1"/>
        </w:sectPr>
      </w:pPr>
    </w:p>
    <w:p>
      <w:pPr>
        <w:pStyle w:val="4"/>
        <w:spacing w:before="10"/>
        <w:rPr>
          <w:sz w:val="26"/>
        </w:rPr>
      </w:pPr>
    </w:p>
    <w:p>
      <w:pPr>
        <w:pStyle w:val="3"/>
        <w:spacing w:before="62" w:line="364" w:lineRule="auto"/>
        <w:ind w:left="540" w:right="897"/>
      </w:pPr>
      <w:bookmarkStart w:id="35" w:name="三、上海破产法庭 出台 《关于规范破产案件接管工作办法》《关于规范债务人对外股权"/>
      <w:bookmarkEnd w:id="35"/>
      <w:r>
        <w:rPr>
          <w:color w:val="202020"/>
        </w:rPr>
        <w:t>三、上海破产法庭 出台 《关于规范破产案件接管工作办法》《关于规范债务人对外股权投资处置工作办法（试行）》</w:t>
      </w:r>
    </w:p>
    <w:p>
      <w:pPr>
        <w:pStyle w:val="4"/>
        <w:rPr>
          <w:b/>
        </w:rPr>
      </w:pPr>
    </w:p>
    <w:p>
      <w:pPr>
        <w:pStyle w:val="4"/>
        <w:spacing w:before="12"/>
        <w:rPr>
          <w:b/>
          <w:sz w:val="23"/>
        </w:rPr>
      </w:pPr>
    </w:p>
    <w:p>
      <w:pPr>
        <w:spacing w:before="0" w:line="504" w:lineRule="auto"/>
        <w:ind w:left="660" w:right="2403" w:hanging="120"/>
        <w:jc w:val="left"/>
        <w:rPr>
          <w:sz w:val="28"/>
        </w:rPr>
      </w:pPr>
      <w:bookmarkStart w:id="36" w:name="上海破产法庭 | 《关于规范破产案件接管工作办法》"/>
      <w:bookmarkEnd w:id="36"/>
      <w:r>
        <w:rPr>
          <w:b/>
          <w:color w:val="202020"/>
          <w:sz w:val="28"/>
        </w:rPr>
        <w:t>上海破产法庭 | 《关于规范破产案件接管工作办法》</w:t>
      </w:r>
      <w:r>
        <w:rPr>
          <w:color w:val="202020"/>
          <w:sz w:val="28"/>
        </w:rPr>
        <w:t>上海破产法庭 2022-06-07 21:29 发表于上海</w:t>
      </w:r>
    </w:p>
    <w:p>
      <w:pPr>
        <w:pStyle w:val="4"/>
      </w:pPr>
    </w:p>
    <w:p>
      <w:pPr>
        <w:pStyle w:val="3"/>
        <w:spacing w:before="235"/>
        <w:ind w:left="361" w:right="588"/>
        <w:jc w:val="center"/>
      </w:pPr>
      <w:bookmarkStart w:id="37" w:name="关于规范破产案件接管工作办法"/>
      <w:bookmarkEnd w:id="37"/>
      <w:r>
        <w:rPr>
          <w:color w:val="202020"/>
        </w:rPr>
        <w:t>关于规范破产案件接管工作办法</w:t>
      </w:r>
    </w:p>
    <w:p>
      <w:pPr>
        <w:pStyle w:val="4"/>
        <w:rPr>
          <w:b/>
        </w:rPr>
      </w:pPr>
    </w:p>
    <w:p>
      <w:pPr>
        <w:pStyle w:val="4"/>
        <w:spacing w:before="5"/>
        <w:rPr>
          <w:b/>
          <w:sz w:val="29"/>
        </w:rPr>
      </w:pPr>
    </w:p>
    <w:p>
      <w:pPr>
        <w:pStyle w:val="4"/>
        <w:spacing w:line="364" w:lineRule="auto"/>
        <w:ind w:left="220" w:right="840" w:firstLine="619"/>
        <w:jc w:val="both"/>
      </w:pPr>
      <w:r>
        <w:rPr>
          <w:color w:val="202020"/>
        </w:rPr>
        <w:t>为更好促进管理人依法及时履行接管职责，规范接管行为，不断促进提升管理人专业能力，充分保护债权人合法权益，提高办理破产质效，上海破产法庭按照《中华人民共和国企业破产法》</w:t>
      </w:r>
      <w:r>
        <w:rPr>
          <w:color w:val="202020"/>
          <w:spacing w:val="4"/>
        </w:rPr>
        <w:t>（</w:t>
      </w:r>
      <w:r>
        <w:rPr>
          <w:color w:val="202020"/>
        </w:rPr>
        <w:t>以下简称</w:t>
      </w:r>
    </w:p>
    <w:p>
      <w:pPr>
        <w:pStyle w:val="4"/>
        <w:spacing w:line="364" w:lineRule="auto"/>
        <w:ind w:left="220" w:right="840"/>
      </w:pPr>
      <w:r>
        <w:rPr>
          <w:color w:val="202020"/>
          <w:spacing w:val="11"/>
        </w:rPr>
        <w:t>《企业破产法》</w:t>
      </w:r>
      <w:r>
        <w:rPr>
          <w:color w:val="202020"/>
          <w:spacing w:val="14"/>
        </w:rPr>
        <w:t>）</w:t>
      </w:r>
      <w:r>
        <w:rPr>
          <w:color w:val="202020"/>
          <w:spacing w:val="10"/>
        </w:rPr>
        <w:t>及其司法解释、《全国法院破产审判工作会议纪</w:t>
      </w:r>
      <w:r>
        <w:rPr>
          <w:color w:val="202020"/>
          <w:spacing w:val="14"/>
        </w:rPr>
        <w:t>要》（</w:t>
      </w:r>
      <w:r>
        <w:rPr>
          <w:color w:val="202020"/>
          <w:spacing w:val="12"/>
        </w:rPr>
        <w:t>法〔</w:t>
      </w:r>
      <w:r>
        <w:rPr>
          <w:color w:val="202020"/>
          <w:spacing w:val="3"/>
        </w:rPr>
        <w:t>2018</w:t>
      </w:r>
      <w:r>
        <w:rPr>
          <w:color w:val="202020"/>
          <w:spacing w:val="14"/>
        </w:rPr>
        <w:t>〕</w:t>
      </w:r>
      <w:r>
        <w:rPr>
          <w:color w:val="202020"/>
          <w:spacing w:val="7"/>
        </w:rPr>
        <w:t>53</w:t>
      </w:r>
      <w:r>
        <w:rPr>
          <w:color w:val="202020"/>
          <w:spacing w:val="14"/>
        </w:rPr>
        <w:t>号）</w:t>
      </w:r>
      <w:r>
        <w:rPr>
          <w:color w:val="202020"/>
          <w:spacing w:val="12"/>
        </w:rPr>
        <w:t>、《全国法院民商事审判工作会议纪要》</w:t>
      </w:r>
    </w:p>
    <w:p>
      <w:pPr>
        <w:pStyle w:val="4"/>
        <w:spacing w:line="364" w:lineRule="auto"/>
        <w:ind w:left="220" w:right="839"/>
        <w:jc w:val="both"/>
      </w:pPr>
      <w:r>
        <w:rPr>
          <w:color w:val="202020"/>
        </w:rPr>
        <w:t>（法〔2019〕254号）、《最高人民法院关于推进破产案件依法高效审理的意见》（ 法发〔2020 〕14 号，以下简称《依法高效审理意见》），以及上海市高级人民法院《企业破产案件管理人工作职责指引》《破产审判工作规范指引（2021）》的有关规定和指导意见，结合上海破产法庭实践，制定本办法。</w:t>
      </w:r>
    </w:p>
    <w:p>
      <w:pPr>
        <w:pStyle w:val="4"/>
        <w:spacing w:line="356" w:lineRule="exact"/>
        <w:ind w:left="840"/>
      </w:pPr>
      <w:r>
        <w:rPr>
          <w:color w:val="202020"/>
        </w:rPr>
        <w:t>一、总体原则</w:t>
      </w:r>
    </w:p>
    <w:p>
      <w:pPr>
        <w:pStyle w:val="8"/>
        <w:numPr>
          <w:ilvl w:val="0"/>
          <w:numId w:val="6"/>
        </w:numPr>
        <w:tabs>
          <w:tab w:val="left" w:pos="1121"/>
        </w:tabs>
        <w:spacing w:before="186" w:after="0" w:line="240" w:lineRule="auto"/>
        <w:ind w:left="1120" w:right="0" w:hanging="281"/>
        <w:jc w:val="left"/>
        <w:rPr>
          <w:sz w:val="28"/>
        </w:rPr>
      </w:pPr>
      <w:r>
        <w:rPr>
          <w:color w:val="202020"/>
          <w:spacing w:val="-3"/>
          <w:sz w:val="28"/>
        </w:rPr>
        <w:t>法院依法支持、监督管理人履行接管职责。</w:t>
      </w:r>
    </w:p>
    <w:p>
      <w:pPr>
        <w:pStyle w:val="8"/>
        <w:numPr>
          <w:ilvl w:val="0"/>
          <w:numId w:val="6"/>
        </w:numPr>
        <w:tabs>
          <w:tab w:val="left" w:pos="1121"/>
        </w:tabs>
        <w:spacing w:before="189" w:after="0" w:line="364" w:lineRule="auto"/>
        <w:ind w:left="220" w:right="840" w:firstLine="619"/>
        <w:jc w:val="left"/>
        <w:rPr>
          <w:sz w:val="28"/>
        </w:rPr>
      </w:pPr>
      <w:r>
        <w:rPr>
          <w:color w:val="202020"/>
          <w:sz w:val="28"/>
        </w:rPr>
        <w:t>管理人忠实、勤勉履行接管职责，依法依规开展接管工作，提</w:t>
      </w:r>
      <w:r>
        <w:rPr>
          <w:color w:val="202020"/>
          <w:spacing w:val="-3"/>
          <w:sz w:val="28"/>
        </w:rPr>
        <w:t>高接管效率，切实维护当事人合法权益。</w:t>
      </w:r>
    </w:p>
    <w:p>
      <w:pPr>
        <w:pStyle w:val="8"/>
        <w:numPr>
          <w:ilvl w:val="0"/>
          <w:numId w:val="6"/>
        </w:numPr>
        <w:tabs>
          <w:tab w:val="left" w:pos="1121"/>
        </w:tabs>
        <w:spacing w:before="0" w:after="0" w:line="367" w:lineRule="auto"/>
        <w:ind w:left="220" w:right="840" w:firstLine="619"/>
        <w:jc w:val="left"/>
        <w:rPr>
          <w:sz w:val="28"/>
        </w:rPr>
      </w:pPr>
      <w:r>
        <w:rPr>
          <w:color w:val="202020"/>
          <w:sz w:val="28"/>
        </w:rPr>
        <w:t xml:space="preserve">接管工作应公开透明，依法保障债权人程序参与权和知情权， </w:t>
      </w:r>
      <w:r>
        <w:rPr>
          <w:color w:val="202020"/>
          <w:spacing w:val="-3"/>
          <w:sz w:val="28"/>
        </w:rPr>
        <w:t>接受债权人监督。</w:t>
      </w:r>
    </w:p>
    <w:p>
      <w:pPr>
        <w:spacing w:after="0" w:line="367" w:lineRule="auto"/>
        <w:jc w:val="left"/>
        <w:rPr>
          <w:sz w:val="28"/>
        </w:rPr>
        <w:sectPr>
          <w:footerReference r:id="rId10" w:type="default"/>
          <w:pgSz w:w="11910" w:h="16840"/>
          <w:pgMar w:top="1600" w:right="1060" w:bottom="980" w:left="1260" w:header="1148" w:footer="793" w:gutter="0"/>
          <w:pgNumType w:fmt="decimal" w:start="20"/>
          <w:cols w:space="720" w:num="1"/>
        </w:sectPr>
      </w:pPr>
    </w:p>
    <w:p>
      <w:pPr>
        <w:pStyle w:val="4"/>
        <w:rPr>
          <w:sz w:val="20"/>
        </w:rPr>
      </w:pPr>
    </w:p>
    <w:p>
      <w:pPr>
        <w:pStyle w:val="4"/>
        <w:spacing w:before="4"/>
        <w:rPr>
          <w:sz w:val="22"/>
        </w:rPr>
      </w:pPr>
    </w:p>
    <w:p>
      <w:pPr>
        <w:pStyle w:val="4"/>
        <w:spacing w:before="62" w:line="367" w:lineRule="auto"/>
        <w:ind w:left="840" w:right="7067"/>
      </w:pPr>
      <w:r>
        <w:rPr>
          <w:color w:val="202020"/>
        </w:rPr>
        <w:t>二、基本要求4.接管范围</w:t>
      </w:r>
    </w:p>
    <w:p>
      <w:pPr>
        <w:pStyle w:val="4"/>
        <w:spacing w:line="364" w:lineRule="auto"/>
        <w:ind w:left="220" w:right="840" w:firstLine="619"/>
        <w:jc w:val="both"/>
      </w:pPr>
      <w:r>
        <w:rPr>
          <w:color w:val="202020"/>
        </w:rPr>
        <w:t>管理人依据《企业破产法》第二十五条规定，全面接管债务人的财产、印章、账簿和文书等资料（以下统称债务人财产），包括但不限于：</w:t>
      </w:r>
    </w:p>
    <w:p>
      <w:pPr>
        <w:pStyle w:val="8"/>
        <w:numPr>
          <w:ilvl w:val="0"/>
          <w:numId w:val="7"/>
        </w:numPr>
        <w:tabs>
          <w:tab w:val="left" w:pos="1563"/>
        </w:tabs>
        <w:spacing w:before="0" w:after="0" w:line="364" w:lineRule="auto"/>
        <w:ind w:left="220" w:right="839" w:firstLine="619"/>
        <w:jc w:val="left"/>
        <w:rPr>
          <w:sz w:val="28"/>
        </w:rPr>
      </w:pPr>
      <w:r>
        <w:rPr>
          <w:color w:val="202020"/>
          <w:spacing w:val="3"/>
          <w:sz w:val="28"/>
        </w:rPr>
        <w:t>经营证照。包括：法人营业执照、税务登记证、外汇登记</w:t>
      </w:r>
      <w:r>
        <w:rPr>
          <w:color w:val="202020"/>
          <w:spacing w:val="-3"/>
          <w:sz w:val="28"/>
        </w:rPr>
        <w:t>证、经营资质等相关经营的审批文件；</w:t>
      </w:r>
    </w:p>
    <w:p>
      <w:pPr>
        <w:pStyle w:val="8"/>
        <w:numPr>
          <w:ilvl w:val="0"/>
          <w:numId w:val="7"/>
        </w:numPr>
        <w:tabs>
          <w:tab w:val="left" w:pos="1563"/>
        </w:tabs>
        <w:spacing w:before="0" w:after="0" w:line="364" w:lineRule="auto"/>
        <w:ind w:left="220" w:right="839" w:firstLine="619"/>
        <w:jc w:val="both"/>
        <w:rPr>
          <w:sz w:val="28"/>
        </w:rPr>
      </w:pPr>
      <w:r>
        <w:rPr>
          <w:color w:val="202020"/>
          <w:spacing w:val="3"/>
          <w:sz w:val="28"/>
        </w:rPr>
        <w:t>印鉴。包括：公章、法定代表人章、财务专用章、税务登</w:t>
      </w:r>
      <w:r>
        <w:rPr>
          <w:color w:val="202020"/>
          <w:sz w:val="28"/>
        </w:rPr>
        <w:t>记专用章、银行账户印鉴、合同专用章、发票专用章、内设机构章、</w:t>
      </w:r>
      <w:r>
        <w:rPr>
          <w:color w:val="202020"/>
          <w:spacing w:val="-3"/>
          <w:sz w:val="28"/>
        </w:rPr>
        <w:t>分支机构章、数字证书、电子印章等；</w:t>
      </w:r>
    </w:p>
    <w:p>
      <w:pPr>
        <w:pStyle w:val="8"/>
        <w:numPr>
          <w:ilvl w:val="0"/>
          <w:numId w:val="7"/>
        </w:numPr>
        <w:tabs>
          <w:tab w:val="left" w:pos="1563"/>
        </w:tabs>
        <w:spacing w:before="0" w:after="0" w:line="364" w:lineRule="auto"/>
        <w:ind w:left="220" w:right="839" w:firstLine="619"/>
        <w:jc w:val="both"/>
        <w:rPr>
          <w:sz w:val="28"/>
        </w:rPr>
      </w:pPr>
      <w:r>
        <w:rPr>
          <w:color w:val="202020"/>
          <w:spacing w:val="3"/>
          <w:sz w:val="28"/>
        </w:rPr>
        <w:t>财务会计资料。包括：总账、明细账、台账、日记账等会</w:t>
      </w:r>
      <w:r>
        <w:rPr>
          <w:color w:val="202020"/>
          <w:sz w:val="28"/>
        </w:rPr>
        <w:t>计账簿；会计凭证、空白凭证；财务会计报告；审计、评估报告等财</w:t>
      </w:r>
      <w:r>
        <w:rPr>
          <w:color w:val="202020"/>
          <w:spacing w:val="-2"/>
          <w:sz w:val="28"/>
        </w:rPr>
        <w:t>会资料；</w:t>
      </w:r>
    </w:p>
    <w:p>
      <w:pPr>
        <w:pStyle w:val="8"/>
        <w:numPr>
          <w:ilvl w:val="0"/>
          <w:numId w:val="7"/>
        </w:numPr>
        <w:tabs>
          <w:tab w:val="left" w:pos="1542"/>
        </w:tabs>
        <w:spacing w:before="0" w:after="0" w:line="240" w:lineRule="auto"/>
        <w:ind w:left="1542" w:right="0" w:hanging="702"/>
        <w:jc w:val="left"/>
        <w:rPr>
          <w:sz w:val="28"/>
        </w:rPr>
      </w:pPr>
      <w:r>
        <w:rPr>
          <w:color w:val="202020"/>
          <w:spacing w:val="-3"/>
          <w:sz w:val="28"/>
        </w:rPr>
        <w:t>现金、银行存款、有价证券、债权凭证；</w:t>
      </w:r>
    </w:p>
    <w:p>
      <w:pPr>
        <w:pStyle w:val="8"/>
        <w:numPr>
          <w:ilvl w:val="0"/>
          <w:numId w:val="7"/>
        </w:numPr>
        <w:tabs>
          <w:tab w:val="left" w:pos="1542"/>
        </w:tabs>
        <w:spacing w:before="184" w:after="0" w:line="240" w:lineRule="auto"/>
        <w:ind w:left="1542" w:right="0" w:hanging="702"/>
        <w:jc w:val="left"/>
        <w:rPr>
          <w:sz w:val="28"/>
        </w:rPr>
      </w:pPr>
      <w:r>
        <w:rPr>
          <w:color w:val="202020"/>
          <w:spacing w:val="-3"/>
          <w:sz w:val="28"/>
        </w:rPr>
        <w:t>土地、房屋等不动产及权利凭证；</w:t>
      </w:r>
    </w:p>
    <w:p>
      <w:pPr>
        <w:pStyle w:val="8"/>
        <w:numPr>
          <w:ilvl w:val="0"/>
          <w:numId w:val="7"/>
        </w:numPr>
        <w:tabs>
          <w:tab w:val="left" w:pos="1542"/>
        </w:tabs>
        <w:spacing w:before="189" w:after="0" w:line="240" w:lineRule="auto"/>
        <w:ind w:left="1542" w:right="0" w:hanging="702"/>
        <w:jc w:val="left"/>
        <w:rPr>
          <w:sz w:val="28"/>
        </w:rPr>
      </w:pPr>
      <w:r>
        <w:rPr>
          <w:color w:val="202020"/>
          <w:spacing w:val="-3"/>
          <w:sz w:val="28"/>
        </w:rPr>
        <w:t>机器设备、交通工具、原材料、产品，以及办公用品等；</w:t>
      </w:r>
    </w:p>
    <w:p>
      <w:pPr>
        <w:pStyle w:val="8"/>
        <w:numPr>
          <w:ilvl w:val="0"/>
          <w:numId w:val="7"/>
        </w:numPr>
        <w:tabs>
          <w:tab w:val="left" w:pos="1542"/>
        </w:tabs>
        <w:spacing w:before="186" w:after="0" w:line="240" w:lineRule="auto"/>
        <w:ind w:left="1542" w:right="0" w:hanging="702"/>
        <w:jc w:val="left"/>
        <w:rPr>
          <w:sz w:val="28"/>
        </w:rPr>
      </w:pPr>
      <w:r>
        <w:rPr>
          <w:color w:val="202020"/>
          <w:spacing w:val="-3"/>
          <w:sz w:val="28"/>
        </w:rPr>
        <w:t>知识产权、对外投资、特许经营许可等无形资产；</w:t>
      </w:r>
    </w:p>
    <w:p>
      <w:pPr>
        <w:pStyle w:val="8"/>
        <w:numPr>
          <w:ilvl w:val="0"/>
          <w:numId w:val="7"/>
        </w:numPr>
        <w:tabs>
          <w:tab w:val="left" w:pos="1563"/>
        </w:tabs>
        <w:spacing w:before="188" w:after="0" w:line="364" w:lineRule="auto"/>
        <w:ind w:left="220" w:right="839" w:firstLine="619"/>
        <w:jc w:val="both"/>
        <w:rPr>
          <w:sz w:val="28"/>
        </w:rPr>
      </w:pPr>
      <w:r>
        <w:rPr>
          <w:color w:val="202020"/>
          <w:spacing w:val="3"/>
          <w:sz w:val="28"/>
        </w:rPr>
        <w:t>文件资料。包括：章程、管理制度、股东名册、股东会决</w:t>
      </w:r>
      <w:r>
        <w:rPr>
          <w:color w:val="202020"/>
          <w:sz w:val="28"/>
        </w:rPr>
        <w:t>议、董事会决议、监事会决议、商业合同、劳动合同、人事档案、涉</w:t>
      </w:r>
      <w:r>
        <w:rPr>
          <w:color w:val="202020"/>
          <w:spacing w:val="-3"/>
          <w:sz w:val="28"/>
        </w:rPr>
        <w:t>诉涉仲裁涉执行案件材料等；</w:t>
      </w:r>
    </w:p>
    <w:p>
      <w:pPr>
        <w:pStyle w:val="8"/>
        <w:numPr>
          <w:ilvl w:val="0"/>
          <w:numId w:val="7"/>
        </w:numPr>
        <w:tabs>
          <w:tab w:val="left" w:pos="1546"/>
        </w:tabs>
        <w:spacing w:before="1" w:after="0" w:line="364" w:lineRule="auto"/>
        <w:ind w:left="220" w:right="842" w:firstLine="619"/>
        <w:jc w:val="left"/>
        <w:rPr>
          <w:sz w:val="28"/>
        </w:rPr>
      </w:pPr>
      <w:r>
        <w:rPr>
          <w:color w:val="202020"/>
          <w:sz w:val="28"/>
        </w:rPr>
        <w:t>有关电子数据、管理系统授权密码、U盾，以及支付宝和微</w:t>
      </w:r>
      <w:r>
        <w:rPr>
          <w:color w:val="202020"/>
          <w:spacing w:val="-3"/>
          <w:sz w:val="28"/>
        </w:rPr>
        <w:t>信等电子支付工具的账号密码；</w:t>
      </w:r>
    </w:p>
    <w:p>
      <w:pPr>
        <w:pStyle w:val="8"/>
        <w:numPr>
          <w:ilvl w:val="0"/>
          <w:numId w:val="7"/>
        </w:numPr>
        <w:tabs>
          <w:tab w:val="left" w:pos="1682"/>
        </w:tabs>
        <w:spacing w:before="1" w:after="0" w:line="364" w:lineRule="auto"/>
        <w:ind w:left="840" w:right="4267" w:firstLine="0"/>
        <w:jc w:val="left"/>
        <w:rPr>
          <w:sz w:val="28"/>
        </w:rPr>
      </w:pPr>
      <w:r>
        <w:rPr>
          <w:color w:val="202020"/>
          <w:spacing w:val="-3"/>
          <w:sz w:val="28"/>
        </w:rPr>
        <w:t>其他应当接管的财产和资料。5.接管规范要点</w:t>
      </w:r>
    </w:p>
    <w:p>
      <w:pPr>
        <w:spacing w:after="0" w:line="364" w:lineRule="auto"/>
        <w:jc w:val="left"/>
        <w:rPr>
          <w:sz w:val="28"/>
        </w:rPr>
        <w:sectPr>
          <w:pgSz w:w="11910" w:h="16840"/>
          <w:pgMar w:top="1600" w:right="1060" w:bottom="980" w:left="1260" w:header="1148" w:footer="793" w:gutter="0"/>
          <w:pgNumType w:fmt="decimal"/>
          <w:cols w:space="720" w:num="1"/>
        </w:sectPr>
      </w:pPr>
    </w:p>
    <w:p>
      <w:pPr>
        <w:pStyle w:val="8"/>
        <w:numPr>
          <w:ilvl w:val="0"/>
          <w:numId w:val="8"/>
        </w:numPr>
        <w:tabs>
          <w:tab w:val="left" w:pos="1542"/>
        </w:tabs>
        <w:spacing w:before="57" w:after="0" w:line="240" w:lineRule="auto"/>
        <w:ind w:left="1542" w:right="0" w:hanging="702"/>
        <w:jc w:val="left"/>
        <w:rPr>
          <w:sz w:val="28"/>
        </w:rPr>
      </w:pPr>
      <w:r>
        <w:rPr>
          <w:color w:val="202020"/>
          <w:spacing w:val="-3"/>
          <w:sz w:val="28"/>
        </w:rPr>
        <w:t>调查财产和相关人员信息</w:t>
      </w:r>
    </w:p>
    <w:p>
      <w:pPr>
        <w:pStyle w:val="4"/>
        <w:spacing w:before="188" w:line="364" w:lineRule="auto"/>
        <w:ind w:left="220" w:right="840" w:firstLine="619"/>
      </w:pPr>
      <w:r>
        <w:rPr>
          <w:color w:val="202020"/>
        </w:rPr>
        <w:t>管理人接受法院指定后需立即进行调查，查明债务人财产和相关</w:t>
      </w:r>
      <w:r>
        <w:rPr>
          <w:color w:val="202020"/>
          <w:spacing w:val="-3"/>
        </w:rPr>
        <w:t>人员信息或线索。调查途径可包括：</w:t>
      </w:r>
    </w:p>
    <w:p>
      <w:pPr>
        <w:pStyle w:val="4"/>
        <w:spacing w:before="2" w:line="362" w:lineRule="auto"/>
        <w:ind w:left="220" w:right="840" w:firstLine="619"/>
      </w:pPr>
      <w:r>
        <w:rPr>
          <w:color w:val="202020"/>
        </w:rPr>
        <w:t>①信息公开平台：企业信息查询平台、裁判文书网、执行信息公</w:t>
      </w:r>
      <w:r>
        <w:rPr>
          <w:color w:val="202020"/>
          <w:spacing w:val="-3"/>
        </w:rPr>
        <w:t>开网、庭审公开网等信息公开平台；</w:t>
      </w:r>
    </w:p>
    <w:p>
      <w:pPr>
        <w:pStyle w:val="4"/>
        <w:spacing w:before="6" w:line="364" w:lineRule="auto"/>
        <w:ind w:left="220" w:right="840" w:firstLine="619"/>
      </w:pPr>
      <w:r>
        <w:rPr>
          <w:color w:val="202020"/>
        </w:rPr>
        <w:t>②档案户籍：债务人及关联企业工商登记信息；债务人的法定代表人、实际控制人、股东、董事、监事、高管的户籍和居住地信息；</w:t>
      </w:r>
    </w:p>
    <w:p>
      <w:pPr>
        <w:pStyle w:val="4"/>
        <w:spacing w:before="1" w:line="364" w:lineRule="auto"/>
        <w:ind w:left="220" w:right="840" w:firstLine="619"/>
      </w:pPr>
      <w:r>
        <w:rPr>
          <w:color w:val="202020"/>
        </w:rPr>
        <w:t>③产权登记部门和银行：不动产、船舶、机动车、有价证券、知识产权等产权登记部门，以及开户银行和相关资金往来银行；</w:t>
      </w:r>
    </w:p>
    <w:p>
      <w:pPr>
        <w:pStyle w:val="4"/>
        <w:spacing w:before="2" w:line="362" w:lineRule="auto"/>
        <w:ind w:left="220" w:right="840" w:firstLine="619"/>
      </w:pPr>
      <w:r>
        <w:rPr>
          <w:color w:val="202020"/>
        </w:rPr>
        <w:t>④实地查看：包括债务人注册地、主要办事机构所在地等经营场所。债务人系“三无”企业的还需向物业等周边可能知情人员询问；</w:t>
      </w:r>
    </w:p>
    <w:p>
      <w:pPr>
        <w:pStyle w:val="4"/>
        <w:spacing w:before="6" w:line="364" w:lineRule="auto"/>
        <w:ind w:left="220" w:right="840" w:firstLine="619"/>
      </w:pPr>
      <w:r>
        <w:rPr>
          <w:color w:val="202020"/>
        </w:rPr>
        <w:t>⑤涉诉涉仲裁涉执行案卷：向相关法院和仲裁机构申请查阅涉诉涉仲裁涉执行案件卷宗，必要时可申请破产案件受理法院协助。</w:t>
      </w:r>
    </w:p>
    <w:p>
      <w:pPr>
        <w:pStyle w:val="4"/>
        <w:spacing w:before="1" w:line="364" w:lineRule="auto"/>
        <w:ind w:left="220" w:right="840" w:firstLine="619"/>
      </w:pPr>
      <w:r>
        <w:rPr>
          <w:color w:val="202020"/>
        </w:rPr>
        <w:t>破产受理前六个月内相关执行程序中已经进行的调查，管理人可直接沿用调查结果，但有证据或线索显示确有重新调查必要的除外。</w:t>
      </w:r>
    </w:p>
    <w:p>
      <w:pPr>
        <w:pStyle w:val="4"/>
        <w:spacing w:before="2"/>
        <w:ind w:left="840"/>
      </w:pPr>
      <w:r>
        <w:rPr>
          <w:color w:val="202020"/>
        </w:rPr>
        <w:t>⑥其他途径:第三方线上支付平台、线索征集、悬赏等途径。</w:t>
      </w:r>
    </w:p>
    <w:p>
      <w:pPr>
        <w:pStyle w:val="4"/>
        <w:spacing w:before="188" w:line="364" w:lineRule="auto"/>
        <w:ind w:left="220" w:right="840" w:firstLine="619"/>
        <w:jc w:val="both"/>
      </w:pPr>
      <w:r>
        <w:rPr>
          <w:color w:val="202020"/>
        </w:rPr>
        <w:t>管理人调查发现债务人资产与负债规模过度失衡的，应责令债务人对重大资产去向作出说明，严格审查债务人的财产状况，切实防止逃废债。</w:t>
      </w:r>
    </w:p>
    <w:p>
      <w:pPr>
        <w:pStyle w:val="8"/>
        <w:numPr>
          <w:ilvl w:val="0"/>
          <w:numId w:val="8"/>
        </w:numPr>
        <w:tabs>
          <w:tab w:val="left" w:pos="1542"/>
        </w:tabs>
        <w:spacing w:before="1" w:after="0" w:line="240" w:lineRule="auto"/>
        <w:ind w:left="1542" w:right="0" w:hanging="702"/>
        <w:jc w:val="left"/>
        <w:rPr>
          <w:sz w:val="28"/>
        </w:rPr>
      </w:pPr>
      <w:r>
        <w:rPr>
          <w:color w:val="202020"/>
          <w:spacing w:val="-3"/>
          <w:sz w:val="28"/>
        </w:rPr>
        <w:t>审核占有债务人财产的合法性</w:t>
      </w:r>
    </w:p>
    <w:p>
      <w:pPr>
        <w:pStyle w:val="4"/>
        <w:spacing w:before="186" w:line="364" w:lineRule="auto"/>
        <w:ind w:left="220" w:right="840" w:firstLine="619"/>
        <w:jc w:val="both"/>
      </w:pPr>
      <w:r>
        <w:rPr>
          <w:color w:val="202020"/>
        </w:rPr>
        <w:t>债务人有关人员或第三人占有债务人财产合法的，管理人根据相应法律关系依法处理。占有缺乏合法依据的，管理人应依法及时接管。</w:t>
      </w:r>
    </w:p>
    <w:p>
      <w:pPr>
        <w:pStyle w:val="8"/>
        <w:numPr>
          <w:ilvl w:val="0"/>
          <w:numId w:val="8"/>
        </w:numPr>
        <w:tabs>
          <w:tab w:val="left" w:pos="1542"/>
        </w:tabs>
        <w:spacing w:before="1" w:after="0" w:line="240" w:lineRule="auto"/>
        <w:ind w:left="1542" w:right="0" w:hanging="702"/>
        <w:jc w:val="left"/>
        <w:rPr>
          <w:sz w:val="28"/>
        </w:rPr>
      </w:pPr>
      <w:r>
        <w:rPr>
          <w:color w:val="202020"/>
          <w:spacing w:val="-3"/>
          <w:sz w:val="28"/>
        </w:rPr>
        <w:t>制定接管方案</w:t>
      </w:r>
    </w:p>
    <w:p>
      <w:pPr>
        <w:pStyle w:val="4"/>
        <w:spacing w:before="188"/>
        <w:ind w:left="840"/>
      </w:pPr>
      <w:r>
        <w:rPr>
          <w:color w:val="202020"/>
        </w:rPr>
        <w:t>法院根据案情明确接管完成时间。对于债务人财产分布于不同地</w:t>
      </w:r>
    </w:p>
    <w:p>
      <w:pPr>
        <w:spacing w:after="0"/>
        <w:sectPr>
          <w:pgSz w:w="11910" w:h="16840"/>
          <w:pgMar w:top="1600" w:right="1060" w:bottom="980" w:left="1260" w:header="1148" w:footer="793" w:gutter="0"/>
          <w:pgNumType w:fmt="decimal"/>
          <w:cols w:space="720" w:num="1"/>
        </w:sectPr>
      </w:pPr>
    </w:p>
    <w:p>
      <w:pPr>
        <w:pStyle w:val="4"/>
        <w:spacing w:before="57" w:line="364" w:lineRule="auto"/>
        <w:ind w:left="220" w:right="840"/>
      </w:pPr>
      <w:r>
        <w:rPr>
          <w:color w:val="202020"/>
        </w:rPr>
        <w:t>区，难以短期内完成接管的，管理人应制定接管方案，并按方案完成接管工作。管理人应及时向法院报告阶段性接管情况。</w:t>
      </w:r>
    </w:p>
    <w:p>
      <w:pPr>
        <w:pStyle w:val="4"/>
        <w:spacing w:before="1" w:line="364" w:lineRule="auto"/>
        <w:ind w:left="220" w:right="840" w:firstLine="619"/>
      </w:pPr>
      <w:r>
        <w:rPr>
          <w:color w:val="202020"/>
        </w:rPr>
        <w:t>适用快速审理方式的案件，应按照上海高院《破产审判工作规范指引（2021）》第198条要求的时间完成接管。</w:t>
      </w:r>
    </w:p>
    <w:p>
      <w:pPr>
        <w:pStyle w:val="8"/>
        <w:numPr>
          <w:ilvl w:val="0"/>
          <w:numId w:val="8"/>
        </w:numPr>
        <w:tabs>
          <w:tab w:val="left" w:pos="1542"/>
        </w:tabs>
        <w:spacing w:before="0" w:after="0" w:line="358" w:lineRule="exact"/>
        <w:ind w:left="1542" w:right="0" w:hanging="702"/>
        <w:jc w:val="left"/>
        <w:rPr>
          <w:sz w:val="28"/>
        </w:rPr>
      </w:pPr>
      <w:r>
        <w:rPr>
          <w:color w:val="202020"/>
          <w:spacing w:val="-3"/>
          <w:sz w:val="28"/>
        </w:rPr>
        <w:t>释明配合接管要求</w:t>
      </w:r>
    </w:p>
    <w:p>
      <w:pPr>
        <w:pStyle w:val="4"/>
        <w:spacing w:before="189" w:line="364" w:lineRule="auto"/>
        <w:ind w:left="220" w:right="840" w:firstLine="619"/>
        <w:jc w:val="both"/>
      </w:pPr>
      <w:r>
        <w:rPr>
          <w:color w:val="202020"/>
        </w:rPr>
        <w:t>管理人凭《破产受理裁定书》和《指定管理人决定书》，要求债务人法定代表人、实际控制人、股东、董事、监事、高管，以及财务管理人员、直接保管人员等责任人员配合接管，通过约谈、书面、电话、电邮、通讯群组等方式，告知以下内容：</w:t>
      </w:r>
    </w:p>
    <w:p>
      <w:pPr>
        <w:pStyle w:val="4"/>
        <w:ind w:left="840"/>
      </w:pPr>
      <w:r>
        <w:rPr>
          <w:color w:val="202020"/>
        </w:rPr>
        <w:t>①破产案件受理和指定管理人情况；</w:t>
      </w:r>
    </w:p>
    <w:p>
      <w:pPr>
        <w:pStyle w:val="4"/>
        <w:spacing w:before="186"/>
        <w:ind w:left="840"/>
      </w:pPr>
      <w:r>
        <w:rPr>
          <w:color w:val="202020"/>
        </w:rPr>
        <w:t>②接管的时间、范围等事项安排；</w:t>
      </w:r>
    </w:p>
    <w:p>
      <w:pPr>
        <w:pStyle w:val="4"/>
        <w:spacing w:before="189"/>
        <w:ind w:left="840"/>
      </w:pPr>
      <w:r>
        <w:rPr>
          <w:color w:val="202020"/>
        </w:rPr>
        <w:t>③责任人员应配合接管的法律规定；</w:t>
      </w:r>
    </w:p>
    <w:p>
      <w:pPr>
        <w:pStyle w:val="4"/>
        <w:spacing w:before="188"/>
        <w:ind w:left="840"/>
      </w:pPr>
      <w:r>
        <w:rPr>
          <w:color w:val="202020"/>
        </w:rPr>
        <w:t>④无正当理由不配合接管的法律后果；</w:t>
      </w:r>
    </w:p>
    <w:p>
      <w:pPr>
        <w:pStyle w:val="4"/>
        <w:spacing w:before="188"/>
        <w:ind w:left="840"/>
      </w:pPr>
      <w:r>
        <w:rPr>
          <w:color w:val="202020"/>
          <w:spacing w:val="-3"/>
        </w:rPr>
        <w:t>⑤管理人联系方式；</w:t>
      </w:r>
    </w:p>
    <w:p>
      <w:pPr>
        <w:pStyle w:val="4"/>
        <w:spacing w:before="189"/>
        <w:ind w:left="840"/>
      </w:pPr>
      <w:r>
        <w:rPr>
          <w:color w:val="202020"/>
          <w:spacing w:val="-3"/>
        </w:rPr>
        <w:t>⑥其他需告知事项。</w:t>
      </w:r>
    </w:p>
    <w:p>
      <w:pPr>
        <w:pStyle w:val="8"/>
        <w:numPr>
          <w:ilvl w:val="0"/>
          <w:numId w:val="8"/>
        </w:numPr>
        <w:tabs>
          <w:tab w:val="left" w:pos="1542"/>
        </w:tabs>
        <w:spacing w:before="188" w:after="0" w:line="240" w:lineRule="auto"/>
        <w:ind w:left="1542" w:right="0" w:hanging="702"/>
        <w:jc w:val="left"/>
        <w:rPr>
          <w:sz w:val="28"/>
        </w:rPr>
      </w:pPr>
      <w:r>
        <w:rPr>
          <w:color w:val="202020"/>
          <w:spacing w:val="-2"/>
          <w:sz w:val="28"/>
        </w:rPr>
        <w:t>现场接管</w:t>
      </w:r>
    </w:p>
    <w:p>
      <w:pPr>
        <w:pStyle w:val="4"/>
        <w:spacing w:before="189"/>
        <w:ind w:left="840"/>
      </w:pPr>
      <w:r>
        <w:rPr>
          <w:color w:val="202020"/>
        </w:rPr>
        <w:t>管理人根据个案情况做好人员、车辆等接管准备工作。</w:t>
      </w:r>
    </w:p>
    <w:p>
      <w:pPr>
        <w:pStyle w:val="4"/>
        <w:spacing w:before="186" w:line="364" w:lineRule="auto"/>
        <w:ind w:left="220" w:right="840" w:firstLine="619"/>
      </w:pPr>
      <w:r>
        <w:rPr>
          <w:color w:val="202020"/>
        </w:rPr>
        <w:t>接管过程应制作接管笔录、工作记录，或视情摄影摄像，实行全程留痕。</w:t>
      </w:r>
    </w:p>
    <w:p>
      <w:pPr>
        <w:pStyle w:val="4"/>
        <w:spacing w:before="1" w:line="364" w:lineRule="auto"/>
        <w:ind w:left="220" w:right="840" w:firstLine="619"/>
        <w:jc w:val="both"/>
      </w:pPr>
      <w:r>
        <w:rPr>
          <w:color w:val="202020"/>
        </w:rPr>
        <w:t>管理人接管时可视现场情况，在财物上贴封条，或在债务人经营或财物存放场所周边张贴告示，载明破产案件受理情况、财产情况、接管依据等有关内容。</w:t>
      </w:r>
    </w:p>
    <w:p>
      <w:pPr>
        <w:pStyle w:val="4"/>
        <w:spacing w:before="1"/>
        <w:ind w:left="840"/>
      </w:pPr>
      <w:r>
        <w:rPr>
          <w:color w:val="202020"/>
        </w:rPr>
        <w:t>管理人应注意邀请债权人代表现场参与、见证接管过程。</w:t>
      </w:r>
    </w:p>
    <w:p>
      <w:pPr>
        <w:pStyle w:val="8"/>
        <w:numPr>
          <w:ilvl w:val="0"/>
          <w:numId w:val="8"/>
        </w:numPr>
        <w:tabs>
          <w:tab w:val="left" w:pos="1542"/>
        </w:tabs>
        <w:spacing w:before="186" w:after="0" w:line="240" w:lineRule="auto"/>
        <w:ind w:left="1542" w:right="0" w:hanging="702"/>
        <w:jc w:val="left"/>
        <w:rPr>
          <w:sz w:val="28"/>
        </w:rPr>
      </w:pPr>
      <w:r>
        <w:rPr>
          <w:color w:val="202020"/>
          <w:spacing w:val="-3"/>
          <w:sz w:val="28"/>
        </w:rPr>
        <w:t>制作接管清单</w:t>
      </w:r>
    </w:p>
    <w:p>
      <w:pPr>
        <w:pStyle w:val="4"/>
        <w:spacing w:before="189"/>
        <w:ind w:left="840"/>
      </w:pPr>
      <w:r>
        <w:rPr>
          <w:color w:val="202020"/>
        </w:rPr>
        <w:t>管理人需审查所接管财产的真实性和完整性，清点核对后制作接</w:t>
      </w:r>
    </w:p>
    <w:p>
      <w:pPr>
        <w:spacing w:after="0"/>
        <w:sectPr>
          <w:pgSz w:w="11910" w:h="16840"/>
          <w:pgMar w:top="1600" w:right="1060" w:bottom="980" w:left="1260" w:header="1148" w:footer="793" w:gutter="0"/>
          <w:pgNumType w:fmt="decimal"/>
          <w:cols w:space="720" w:num="1"/>
        </w:sectPr>
      </w:pPr>
    </w:p>
    <w:p>
      <w:pPr>
        <w:pStyle w:val="4"/>
        <w:spacing w:before="57" w:line="364" w:lineRule="auto"/>
        <w:ind w:left="220" w:right="840"/>
        <w:jc w:val="both"/>
      </w:pPr>
      <w:r>
        <w:rPr>
          <w:color w:val="202020"/>
        </w:rPr>
        <w:t>管清单，按不同财产类型记明财产的名称、数量、编号、价值、外观现状等财产信息。数量众多、难以清点的原材料或者半成品等财产， 可以采用存储箱/柜等方式计数，并留存相关影像资料。</w:t>
      </w:r>
    </w:p>
    <w:p>
      <w:pPr>
        <w:pStyle w:val="4"/>
        <w:spacing w:before="1" w:line="364" w:lineRule="auto"/>
        <w:ind w:left="220" w:right="840" w:firstLine="619"/>
        <w:jc w:val="both"/>
      </w:pPr>
      <w:r>
        <w:rPr>
          <w:color w:val="202020"/>
        </w:rPr>
        <w:t>接管完成时，债务人有关人员和管理人均应在接管清单上签字确认。债权人代表参与见证接管的，一并签字确认。上述人员拒绝签字或无法签字的，管理人应在清单上记明情况和原因。</w:t>
      </w:r>
    </w:p>
    <w:p>
      <w:pPr>
        <w:pStyle w:val="4"/>
        <w:spacing w:line="357" w:lineRule="exact"/>
        <w:ind w:left="840"/>
      </w:pPr>
      <w:r>
        <w:rPr>
          <w:color w:val="202020"/>
        </w:rPr>
        <w:t>接管清单应提交法院存卷。</w:t>
      </w:r>
    </w:p>
    <w:p>
      <w:pPr>
        <w:pStyle w:val="8"/>
        <w:numPr>
          <w:ilvl w:val="0"/>
          <w:numId w:val="8"/>
        </w:numPr>
        <w:tabs>
          <w:tab w:val="left" w:pos="1542"/>
        </w:tabs>
        <w:spacing w:before="188" w:after="0" w:line="240" w:lineRule="auto"/>
        <w:ind w:left="1542" w:right="0" w:hanging="702"/>
        <w:jc w:val="left"/>
        <w:rPr>
          <w:sz w:val="28"/>
        </w:rPr>
      </w:pPr>
      <w:r>
        <w:rPr>
          <w:color w:val="202020"/>
          <w:spacing w:val="-3"/>
          <w:sz w:val="28"/>
        </w:rPr>
        <w:t>债务人自行管理的移交</w:t>
      </w:r>
    </w:p>
    <w:p>
      <w:pPr>
        <w:pStyle w:val="4"/>
        <w:spacing w:before="189" w:line="364" w:lineRule="auto"/>
        <w:ind w:left="220" w:right="840" w:firstLine="619"/>
      </w:pPr>
      <w:r>
        <w:rPr>
          <w:color w:val="202020"/>
        </w:rPr>
        <w:t>法院批准债务人自行管理财产和营业事务的，管理人需依法将已</w:t>
      </w:r>
      <w:r>
        <w:rPr>
          <w:color w:val="202020"/>
          <w:spacing w:val="21"/>
        </w:rPr>
        <w:t>接管的债务人财产和营业事务移交债务人，并参照上述第</w:t>
      </w:r>
      <w:r>
        <w:rPr>
          <w:color w:val="202020"/>
          <w:spacing w:val="10"/>
        </w:rPr>
        <w:t>（5</w:t>
      </w:r>
      <w:r>
        <w:rPr>
          <w:color w:val="202020"/>
          <w:spacing w:val="-100"/>
        </w:rPr>
        <w:t xml:space="preserve"> </w:t>
      </w:r>
      <w:r>
        <w:rPr>
          <w:color w:val="202020"/>
          <w:spacing w:val="11"/>
        </w:rPr>
        <w:t>）/</w:t>
      </w:r>
    </w:p>
    <w:p>
      <w:pPr>
        <w:pStyle w:val="4"/>
        <w:spacing w:line="367" w:lineRule="auto"/>
        <w:ind w:left="840" w:right="4747" w:hanging="620"/>
      </w:pPr>
      <w:r>
        <w:rPr>
          <w:color w:val="202020"/>
        </w:rPr>
        <w:t>（6）点接管清单要求制作移交清单。6.有效管控</w:t>
      </w:r>
    </w:p>
    <w:p>
      <w:pPr>
        <w:pStyle w:val="4"/>
        <w:spacing w:line="364" w:lineRule="auto"/>
        <w:ind w:left="220" w:right="840" w:firstLine="619"/>
        <w:jc w:val="both"/>
      </w:pPr>
      <w:r>
        <w:rPr>
          <w:color w:val="202020"/>
        </w:rPr>
        <w:t>管理人对已接管财产不得脱管，须视情采取上锁、贴封条、聘用人员看管等有效管控措施，确保所接管财产置于有效管控下。接管物移转应报告法院同意。</w:t>
      </w:r>
    </w:p>
    <w:p>
      <w:pPr>
        <w:pStyle w:val="4"/>
        <w:spacing w:line="364" w:lineRule="auto"/>
        <w:ind w:left="220" w:right="840" w:firstLine="619"/>
      </w:pPr>
      <w:r>
        <w:rPr>
          <w:color w:val="202020"/>
        </w:rPr>
        <w:t>管理人须定期核查接管财产保管状况，发现财产可能发生毁损、遗失等风险的，应及时采取相应防范措施。</w:t>
      </w:r>
    </w:p>
    <w:p>
      <w:pPr>
        <w:pStyle w:val="8"/>
        <w:numPr>
          <w:ilvl w:val="0"/>
          <w:numId w:val="9"/>
        </w:numPr>
        <w:tabs>
          <w:tab w:val="left" w:pos="1121"/>
        </w:tabs>
        <w:spacing w:before="0" w:after="0" w:line="240" w:lineRule="auto"/>
        <w:ind w:left="1120" w:right="0" w:hanging="281"/>
        <w:jc w:val="left"/>
        <w:rPr>
          <w:sz w:val="28"/>
        </w:rPr>
      </w:pPr>
      <w:r>
        <w:rPr>
          <w:color w:val="202020"/>
          <w:spacing w:val="-3"/>
          <w:sz w:val="28"/>
        </w:rPr>
        <w:t>归集债务人财产</w:t>
      </w:r>
    </w:p>
    <w:p>
      <w:pPr>
        <w:pStyle w:val="4"/>
        <w:spacing w:before="184"/>
        <w:ind w:left="840"/>
      </w:pPr>
      <w:r>
        <w:rPr>
          <w:color w:val="202020"/>
        </w:rPr>
        <w:t>对债务人以下情形，管理人需依法及时追回、归集债务人财产：</w:t>
      </w:r>
    </w:p>
    <w:p>
      <w:pPr>
        <w:pStyle w:val="8"/>
        <w:numPr>
          <w:ilvl w:val="0"/>
          <w:numId w:val="10"/>
        </w:numPr>
        <w:tabs>
          <w:tab w:val="left" w:pos="1542"/>
        </w:tabs>
        <w:spacing w:before="188" w:after="0" w:line="240" w:lineRule="auto"/>
        <w:ind w:left="1542" w:right="0" w:hanging="702"/>
        <w:jc w:val="left"/>
        <w:rPr>
          <w:sz w:val="28"/>
        </w:rPr>
      </w:pPr>
      <w:r>
        <w:rPr>
          <w:color w:val="202020"/>
          <w:spacing w:val="-3"/>
          <w:sz w:val="28"/>
        </w:rPr>
        <w:t>股东未履行出资义务或者抽逃出资；</w:t>
      </w:r>
    </w:p>
    <w:p>
      <w:pPr>
        <w:pStyle w:val="8"/>
        <w:numPr>
          <w:ilvl w:val="0"/>
          <w:numId w:val="10"/>
        </w:numPr>
        <w:tabs>
          <w:tab w:val="left" w:pos="1542"/>
        </w:tabs>
        <w:spacing w:before="186" w:after="0" w:line="240" w:lineRule="auto"/>
        <w:ind w:left="1542" w:right="0" w:hanging="702"/>
        <w:jc w:val="left"/>
        <w:rPr>
          <w:sz w:val="28"/>
        </w:rPr>
      </w:pPr>
      <w:r>
        <w:rPr>
          <w:color w:val="202020"/>
          <w:spacing w:val="-3"/>
          <w:sz w:val="28"/>
        </w:rPr>
        <w:t>为逃避债务而隐匿、转移财产；</w:t>
      </w:r>
    </w:p>
    <w:p>
      <w:pPr>
        <w:pStyle w:val="8"/>
        <w:numPr>
          <w:ilvl w:val="0"/>
          <w:numId w:val="10"/>
        </w:numPr>
        <w:tabs>
          <w:tab w:val="left" w:pos="1542"/>
        </w:tabs>
        <w:spacing w:before="188" w:after="0" w:line="240" w:lineRule="auto"/>
        <w:ind w:left="1542" w:right="0" w:hanging="702"/>
        <w:jc w:val="left"/>
        <w:rPr>
          <w:sz w:val="28"/>
        </w:rPr>
      </w:pPr>
      <w:r>
        <w:rPr>
          <w:color w:val="202020"/>
          <w:spacing w:val="-3"/>
          <w:sz w:val="28"/>
        </w:rPr>
        <w:t>依法应予撤销的个别清偿行为；</w:t>
      </w:r>
    </w:p>
    <w:p>
      <w:pPr>
        <w:pStyle w:val="8"/>
        <w:numPr>
          <w:ilvl w:val="0"/>
          <w:numId w:val="10"/>
        </w:numPr>
        <w:tabs>
          <w:tab w:val="left" w:pos="1542"/>
        </w:tabs>
        <w:spacing w:before="189" w:after="0" w:line="240" w:lineRule="auto"/>
        <w:ind w:left="1542" w:right="0" w:hanging="702"/>
        <w:jc w:val="left"/>
        <w:rPr>
          <w:sz w:val="28"/>
        </w:rPr>
      </w:pPr>
      <w:r>
        <w:rPr>
          <w:color w:val="202020"/>
          <w:spacing w:val="-3"/>
          <w:sz w:val="28"/>
        </w:rPr>
        <w:t>应收账款；</w:t>
      </w:r>
    </w:p>
    <w:p>
      <w:pPr>
        <w:pStyle w:val="8"/>
        <w:numPr>
          <w:ilvl w:val="0"/>
          <w:numId w:val="10"/>
        </w:numPr>
        <w:tabs>
          <w:tab w:val="left" w:pos="1542"/>
        </w:tabs>
        <w:spacing w:before="186" w:after="0" w:line="240" w:lineRule="auto"/>
        <w:ind w:left="1542" w:right="0" w:hanging="702"/>
        <w:jc w:val="left"/>
        <w:rPr>
          <w:sz w:val="28"/>
        </w:rPr>
      </w:pPr>
      <w:r>
        <w:rPr>
          <w:color w:val="202020"/>
          <w:spacing w:val="-3"/>
          <w:sz w:val="28"/>
        </w:rPr>
        <w:t>其他应追回的财产。</w:t>
      </w:r>
    </w:p>
    <w:p>
      <w:pPr>
        <w:pStyle w:val="4"/>
        <w:spacing w:before="188"/>
        <w:ind w:left="840"/>
      </w:pPr>
      <w:r>
        <w:rPr>
          <w:color w:val="202020"/>
        </w:rPr>
        <w:t>管理人追回、归集财产应尽量采取协商、催讨等非诉讼方式，以</w:t>
      </w:r>
    </w:p>
    <w:p>
      <w:pPr>
        <w:spacing w:after="0"/>
        <w:sectPr>
          <w:pgSz w:w="11910" w:h="16840"/>
          <w:pgMar w:top="1600" w:right="1060" w:bottom="980" w:left="1260" w:header="1148" w:footer="793" w:gutter="0"/>
          <w:pgNumType w:fmt="decimal"/>
          <w:cols w:space="720" w:num="1"/>
        </w:sectPr>
      </w:pPr>
    </w:p>
    <w:p>
      <w:pPr>
        <w:pStyle w:val="4"/>
        <w:spacing w:before="57" w:line="364" w:lineRule="auto"/>
        <w:ind w:left="220" w:right="840"/>
        <w:jc w:val="both"/>
      </w:pPr>
      <w:r>
        <w:rPr>
          <w:color w:val="202020"/>
        </w:rPr>
        <w:t>降低程序成本。非诉讼方式未能实现财产归集效果的，管理人应及时提起诉讼或申请仲裁，或者按照债权人会议决议的其他方式处置。对于涉嫌妨害清算、虚假破产，以及隐匿、故意销毁会计凭证、会计账簿、财务会计报告犯罪的，应依法向公安机关报案或请求法院移送公安机关。</w:t>
      </w:r>
    </w:p>
    <w:p>
      <w:pPr>
        <w:pStyle w:val="8"/>
        <w:numPr>
          <w:ilvl w:val="0"/>
          <w:numId w:val="9"/>
        </w:numPr>
        <w:tabs>
          <w:tab w:val="left" w:pos="1121"/>
        </w:tabs>
        <w:spacing w:before="0" w:after="0" w:line="240" w:lineRule="auto"/>
        <w:ind w:left="1120" w:right="0" w:hanging="281"/>
        <w:jc w:val="left"/>
        <w:rPr>
          <w:sz w:val="28"/>
        </w:rPr>
      </w:pPr>
      <w:r>
        <w:rPr>
          <w:color w:val="202020"/>
          <w:spacing w:val="-3"/>
          <w:sz w:val="28"/>
        </w:rPr>
        <w:t>“三无”企业的调查接管</w:t>
      </w:r>
    </w:p>
    <w:p>
      <w:pPr>
        <w:pStyle w:val="4"/>
        <w:spacing w:before="186" w:line="364" w:lineRule="auto"/>
        <w:ind w:left="220" w:right="839" w:firstLine="619"/>
        <w:jc w:val="both"/>
      </w:pPr>
      <w:r>
        <w:rPr>
          <w:color w:val="202020"/>
        </w:rPr>
        <w:t>管理人需按上述第5/（1）点的六种调查途径全面开展调查。调查情况及结果应书面报告法院，并附调查笔录、寄件凭证、现场照片、工作记录等材料。</w:t>
      </w:r>
    </w:p>
    <w:p>
      <w:pPr>
        <w:pStyle w:val="4"/>
        <w:spacing w:before="1" w:line="364" w:lineRule="auto"/>
        <w:ind w:left="220" w:right="839" w:firstLine="619"/>
      </w:pPr>
      <w:r>
        <w:rPr>
          <w:color w:val="202020"/>
        </w:rPr>
        <w:t>管理人未能穷尽前述“六查”途径调查的，应向法院报告原因， 法院予以督导。</w:t>
      </w:r>
    </w:p>
    <w:p>
      <w:pPr>
        <w:pStyle w:val="4"/>
        <w:spacing w:before="1" w:line="364" w:lineRule="auto"/>
        <w:ind w:left="220" w:right="842" w:firstLine="619"/>
      </w:pPr>
      <w:r>
        <w:rPr>
          <w:color w:val="202020"/>
        </w:rPr>
        <w:t>管理人“六查”工作情况以及后续措施，应完整、如实地向债权人会议报告。</w:t>
      </w:r>
    </w:p>
    <w:p>
      <w:pPr>
        <w:pStyle w:val="8"/>
        <w:numPr>
          <w:ilvl w:val="0"/>
          <w:numId w:val="9"/>
        </w:numPr>
        <w:tabs>
          <w:tab w:val="left" w:pos="1121"/>
        </w:tabs>
        <w:spacing w:before="0" w:after="0" w:line="358" w:lineRule="exact"/>
        <w:ind w:left="1120" w:right="0" w:hanging="281"/>
        <w:jc w:val="left"/>
        <w:rPr>
          <w:sz w:val="28"/>
        </w:rPr>
      </w:pPr>
      <w:r>
        <w:rPr>
          <w:color w:val="202020"/>
          <w:spacing w:val="-3"/>
          <w:sz w:val="28"/>
        </w:rPr>
        <w:t>及时追究债务人有关人员责任</w:t>
      </w:r>
    </w:p>
    <w:p>
      <w:pPr>
        <w:pStyle w:val="4"/>
        <w:spacing w:before="188" w:line="364" w:lineRule="auto"/>
        <w:ind w:left="220" w:right="840" w:firstLine="619"/>
      </w:pPr>
      <w:r>
        <w:rPr>
          <w:color w:val="202020"/>
        </w:rPr>
        <w:t>债务人有关人员不履行法定义务配合接管，导致无法清算或者造成损失的，管理人应及时依法追究其责任。</w:t>
      </w:r>
    </w:p>
    <w:p>
      <w:pPr>
        <w:pStyle w:val="8"/>
        <w:numPr>
          <w:ilvl w:val="0"/>
          <w:numId w:val="9"/>
        </w:numPr>
        <w:tabs>
          <w:tab w:val="left" w:pos="1263"/>
        </w:tabs>
        <w:spacing w:before="2" w:after="0" w:line="240" w:lineRule="auto"/>
        <w:ind w:left="1262" w:right="0" w:hanging="423"/>
        <w:jc w:val="left"/>
        <w:rPr>
          <w:sz w:val="28"/>
        </w:rPr>
      </w:pPr>
      <w:r>
        <w:rPr>
          <w:color w:val="202020"/>
          <w:spacing w:val="-3"/>
          <w:sz w:val="28"/>
        </w:rPr>
        <w:t>落实安全生产和环境保护责任</w:t>
      </w:r>
    </w:p>
    <w:p>
      <w:pPr>
        <w:pStyle w:val="4"/>
        <w:spacing w:before="188" w:line="364" w:lineRule="auto"/>
        <w:ind w:left="220" w:right="840" w:firstLine="619"/>
        <w:jc w:val="both"/>
      </w:pPr>
      <w:r>
        <w:rPr>
          <w:color w:val="202020"/>
        </w:rPr>
        <w:t>接管物系易燃易爆物品、危险化学品、放射性物品等危及人身安全和财产安全的物品，管理人应依照相关危险物品处置和环境污染防治法律法规审慎处理，并做好必要防护措施。</w:t>
      </w:r>
    </w:p>
    <w:p>
      <w:pPr>
        <w:pStyle w:val="4"/>
        <w:spacing w:line="364" w:lineRule="auto"/>
        <w:ind w:left="220" w:right="840" w:firstLine="619"/>
      </w:pPr>
      <w:r>
        <w:rPr>
          <w:color w:val="202020"/>
        </w:rPr>
        <w:t>债务人经法院批准继续营业的，管理人应依照有关安全生产和环境保护的法律法规，严格落实安全生产和环境保护责任。</w:t>
      </w:r>
    </w:p>
    <w:p>
      <w:pPr>
        <w:pStyle w:val="8"/>
        <w:numPr>
          <w:ilvl w:val="0"/>
          <w:numId w:val="9"/>
        </w:numPr>
        <w:tabs>
          <w:tab w:val="left" w:pos="1263"/>
        </w:tabs>
        <w:spacing w:before="0" w:after="0" w:line="240" w:lineRule="auto"/>
        <w:ind w:left="1262" w:right="0" w:hanging="423"/>
        <w:jc w:val="left"/>
        <w:rPr>
          <w:sz w:val="28"/>
        </w:rPr>
      </w:pPr>
      <w:r>
        <w:rPr>
          <w:color w:val="202020"/>
          <w:spacing w:val="-2"/>
          <w:sz w:val="28"/>
        </w:rPr>
        <w:t>及时报告</w:t>
      </w:r>
    </w:p>
    <w:p>
      <w:pPr>
        <w:pStyle w:val="4"/>
        <w:spacing w:before="189" w:line="364" w:lineRule="auto"/>
        <w:ind w:left="220" w:right="840" w:firstLine="619"/>
      </w:pPr>
      <w:r>
        <w:rPr>
          <w:color w:val="202020"/>
        </w:rPr>
        <w:t>管理人应依照《企业破产法》第二十三条规定，及时向法院报告接管工作。</w:t>
      </w:r>
    </w:p>
    <w:p>
      <w:pPr>
        <w:spacing w:after="0" w:line="364" w:lineRule="auto"/>
        <w:sectPr>
          <w:pgSz w:w="11910" w:h="16840"/>
          <w:pgMar w:top="1600" w:right="1060" w:bottom="980" w:left="1260" w:header="1148" w:footer="793" w:gutter="0"/>
          <w:pgNumType w:fmt="decimal"/>
          <w:cols w:space="720" w:num="1"/>
        </w:sectPr>
      </w:pPr>
    </w:p>
    <w:p>
      <w:pPr>
        <w:pStyle w:val="4"/>
        <w:spacing w:before="57" w:line="364" w:lineRule="auto"/>
        <w:ind w:left="220" w:right="840" w:firstLine="619"/>
        <w:jc w:val="both"/>
      </w:pPr>
      <w:r>
        <w:rPr>
          <w:color w:val="202020"/>
        </w:rPr>
        <w:t>管理人报告接管工作应提交书面报告。一次性接管难以完成的， 管理人须提交接管进展的定期或专项工作报告。报告一般应包括：接管措施、进度、困难和对策意见，并附接管清单、笔录、影像、录音等材料。若附件材料系复制件的，需与原件核对无误，原件由管理人</w:t>
      </w:r>
      <w:r>
        <w:rPr>
          <w:color w:val="202020"/>
          <w:spacing w:val="-2"/>
        </w:rPr>
        <w:t>妥善保管。</w:t>
      </w:r>
    </w:p>
    <w:p>
      <w:pPr>
        <w:pStyle w:val="4"/>
        <w:spacing w:line="364" w:lineRule="auto"/>
        <w:ind w:left="220" w:right="840" w:firstLine="619"/>
        <w:jc w:val="both"/>
      </w:pPr>
      <w:r>
        <w:rPr>
          <w:color w:val="202020"/>
        </w:rPr>
        <w:t>接管中出现重大、突发事项，或生鲜易腐食品、保质期临界货物</w:t>
      </w:r>
      <w:r>
        <w:rPr>
          <w:color w:val="202020"/>
          <w:spacing w:val="10"/>
        </w:rPr>
        <w:t>等需尽快处理的，管理人应主动及时报告，并提出拟采取的处置意</w:t>
      </w:r>
      <w:r>
        <w:rPr>
          <w:color w:val="202020"/>
        </w:rPr>
        <w:t>见。遇紧急情形，管理人可以口头方式先行报告法院，事后及时补充</w:t>
      </w:r>
      <w:r>
        <w:rPr>
          <w:color w:val="202020"/>
          <w:spacing w:val="-2"/>
        </w:rPr>
        <w:t>书面报告。</w:t>
      </w:r>
    </w:p>
    <w:p>
      <w:pPr>
        <w:pStyle w:val="4"/>
        <w:spacing w:line="367" w:lineRule="auto"/>
        <w:ind w:left="840" w:right="6227"/>
      </w:pPr>
      <w:r>
        <w:rPr>
          <w:color w:val="202020"/>
        </w:rPr>
        <w:t>三、特殊情形的接管12.一并接管情形</w:t>
      </w:r>
    </w:p>
    <w:p>
      <w:pPr>
        <w:pStyle w:val="4"/>
        <w:spacing w:line="364" w:lineRule="auto"/>
        <w:ind w:left="220" w:right="840" w:firstLine="619"/>
      </w:pPr>
      <w:r>
        <w:rPr>
          <w:color w:val="202020"/>
        </w:rPr>
        <w:t>债务人设有分支机构或被裁定纳入实质合并破产的关联企业，管理人应一并接管分支机构或关联企业。</w:t>
      </w:r>
    </w:p>
    <w:p>
      <w:pPr>
        <w:pStyle w:val="4"/>
        <w:spacing w:line="364" w:lineRule="auto"/>
        <w:ind w:left="220" w:right="840" w:firstLine="619"/>
      </w:pPr>
      <w:r>
        <w:rPr>
          <w:color w:val="202020"/>
        </w:rPr>
        <w:t>融资租赁物、售后回租物等债务人占有的不属于债务人所有的财产，以及权属不明的财产，管理人应一并接管后予以妥善保管。</w:t>
      </w:r>
    </w:p>
    <w:p>
      <w:pPr>
        <w:pStyle w:val="8"/>
        <w:numPr>
          <w:ilvl w:val="0"/>
          <w:numId w:val="11"/>
        </w:numPr>
        <w:tabs>
          <w:tab w:val="left" w:pos="1263"/>
        </w:tabs>
        <w:spacing w:before="0" w:after="0" w:line="240" w:lineRule="auto"/>
        <w:ind w:left="1262" w:right="0" w:hanging="423"/>
        <w:jc w:val="left"/>
        <w:rPr>
          <w:sz w:val="28"/>
        </w:rPr>
      </w:pPr>
      <w:r>
        <w:rPr>
          <w:color w:val="202020"/>
          <w:spacing w:val="-3"/>
          <w:sz w:val="28"/>
        </w:rPr>
        <w:t>债务人财产已被其他执法机关依法查扣情形</w:t>
      </w:r>
    </w:p>
    <w:p>
      <w:pPr>
        <w:pStyle w:val="4"/>
        <w:spacing w:before="183" w:line="364" w:lineRule="auto"/>
        <w:ind w:left="220" w:right="840" w:firstLine="619"/>
        <w:jc w:val="both"/>
      </w:pPr>
      <w:r>
        <w:rPr>
          <w:color w:val="202020"/>
        </w:rPr>
        <w:t>债务人财产被其他执法机关依法查封、扣押、冻结的，管理人应及时与有关机关沟通并报告法院。必要时，法院依照上海高院《破产审判工作规范指引（2021）》第48条第3款规定提供协助。</w:t>
      </w:r>
    </w:p>
    <w:p>
      <w:pPr>
        <w:pStyle w:val="4"/>
        <w:spacing w:before="1" w:line="364" w:lineRule="auto"/>
        <w:ind w:left="220" w:right="840" w:firstLine="619"/>
        <w:jc w:val="both"/>
      </w:pPr>
      <w:r>
        <w:rPr>
          <w:color w:val="202020"/>
        </w:rPr>
        <w:t>有关机关尚不能移交债务人财产的，管理人需注意了解后续进展情况，适时完成接管。对可以通过复印、扫描等方式复制的文件资料，可先行接管复制资料。</w:t>
      </w:r>
    </w:p>
    <w:p>
      <w:pPr>
        <w:pStyle w:val="8"/>
        <w:numPr>
          <w:ilvl w:val="0"/>
          <w:numId w:val="11"/>
        </w:numPr>
        <w:tabs>
          <w:tab w:val="left" w:pos="1263"/>
        </w:tabs>
        <w:spacing w:before="1" w:after="0" w:line="240" w:lineRule="auto"/>
        <w:ind w:left="1262" w:right="0" w:hanging="423"/>
        <w:jc w:val="left"/>
        <w:rPr>
          <w:sz w:val="28"/>
        </w:rPr>
      </w:pPr>
      <w:r>
        <w:rPr>
          <w:color w:val="202020"/>
          <w:spacing w:val="-3"/>
          <w:sz w:val="28"/>
        </w:rPr>
        <w:t>委托保管情形</w:t>
      </w:r>
    </w:p>
    <w:p>
      <w:pPr>
        <w:pStyle w:val="4"/>
        <w:spacing w:before="186" w:line="364" w:lineRule="auto"/>
        <w:ind w:left="220" w:right="840" w:firstLine="619"/>
      </w:pPr>
      <w:r>
        <w:rPr>
          <w:color w:val="202020"/>
        </w:rPr>
        <w:t>船舶、飞行器、大型设备等不便移动的债务人财产，管理人可以委托保管并报告法院。遇紧急情形，管理人可以先予口头报告。</w:t>
      </w:r>
    </w:p>
    <w:p>
      <w:pPr>
        <w:spacing w:after="0" w:line="364" w:lineRule="auto"/>
        <w:sectPr>
          <w:pgSz w:w="11910" w:h="16840"/>
          <w:pgMar w:top="1600" w:right="1060" w:bottom="980" w:left="1260" w:header="1148" w:footer="793" w:gutter="0"/>
          <w:pgNumType w:fmt="decimal"/>
          <w:cols w:space="720" w:num="1"/>
        </w:sectPr>
      </w:pPr>
    </w:p>
    <w:p>
      <w:pPr>
        <w:pStyle w:val="4"/>
        <w:spacing w:before="57" w:line="364" w:lineRule="auto"/>
        <w:ind w:left="220" w:right="840" w:firstLine="619"/>
        <w:jc w:val="both"/>
      </w:pPr>
      <w:r>
        <w:rPr>
          <w:color w:val="202020"/>
        </w:rPr>
        <w:t>采取委托保管的，管理人需与受托人签订合同明确保管责任及失责后果，并附保管的财产清单。管理人对委托保管过程，可采取笔录、摄影、摄像，以及第三方见证或公证等措施留存。</w:t>
      </w:r>
    </w:p>
    <w:p>
      <w:pPr>
        <w:pStyle w:val="4"/>
        <w:spacing w:before="1" w:line="364" w:lineRule="auto"/>
        <w:ind w:left="220" w:right="840" w:firstLine="619"/>
        <w:jc w:val="both"/>
      </w:pPr>
      <w:r>
        <w:rPr>
          <w:color w:val="202020"/>
        </w:rPr>
        <w:t>管理人需定期核查委托保管财产状况，发现财产有受到毁损或者脱离控制可能的，应立即终止委托保管，并报告法院，及时采取场地租赁等适当措施予以直接接管。</w:t>
      </w:r>
    </w:p>
    <w:p>
      <w:pPr>
        <w:pStyle w:val="4"/>
        <w:spacing w:line="364" w:lineRule="auto"/>
        <w:ind w:left="220" w:right="840" w:firstLine="619"/>
      </w:pPr>
      <w:r>
        <w:rPr>
          <w:color w:val="202020"/>
        </w:rPr>
        <w:t>委托保管终止时，管理人需核对财产数量，确认财产状况。财产毁损的，应依法及时追究受托人责任。</w:t>
      </w:r>
    </w:p>
    <w:p>
      <w:pPr>
        <w:pStyle w:val="8"/>
        <w:numPr>
          <w:ilvl w:val="0"/>
          <w:numId w:val="11"/>
        </w:numPr>
        <w:tabs>
          <w:tab w:val="left" w:pos="1263"/>
        </w:tabs>
        <w:spacing w:before="0" w:after="0" w:line="240" w:lineRule="auto"/>
        <w:ind w:left="1262" w:right="0" w:hanging="423"/>
        <w:jc w:val="left"/>
        <w:rPr>
          <w:sz w:val="28"/>
        </w:rPr>
      </w:pPr>
      <w:r>
        <w:rPr>
          <w:color w:val="202020"/>
          <w:spacing w:val="-3"/>
          <w:sz w:val="28"/>
        </w:rPr>
        <w:t>境外和港澳台资产</w:t>
      </w:r>
    </w:p>
    <w:p>
      <w:pPr>
        <w:pStyle w:val="4"/>
        <w:spacing w:before="188" w:line="364" w:lineRule="auto"/>
        <w:ind w:left="220" w:right="840" w:firstLine="619"/>
      </w:pPr>
      <w:r>
        <w:rPr>
          <w:color w:val="202020"/>
        </w:rPr>
        <w:t>管理人需及时接管中华人民共和国境外和港澳台地区的债务人财产，必要时可聘请境外专业机构提供相关协助服务。</w:t>
      </w:r>
    </w:p>
    <w:p>
      <w:pPr>
        <w:pStyle w:val="4"/>
        <w:spacing w:before="1" w:line="364" w:lineRule="auto"/>
        <w:ind w:left="220" w:right="840" w:firstLine="619"/>
        <w:jc w:val="both"/>
      </w:pPr>
      <w:r>
        <w:rPr>
          <w:color w:val="202020"/>
        </w:rPr>
        <w:t>管理人接管债务人财产，如需向香港特别行政区法院申请认可内地破产程序及管理人身份的，应遵循最高人民法院与香港特别行政区政府《关于内陆与香港特别行政区法院相互认可和协助破产程序的会谈纪要》的相关规定。</w:t>
      </w:r>
    </w:p>
    <w:p>
      <w:pPr>
        <w:pStyle w:val="4"/>
        <w:spacing w:line="357" w:lineRule="exact"/>
        <w:ind w:left="840"/>
      </w:pPr>
      <w:r>
        <w:rPr>
          <w:color w:val="202020"/>
        </w:rPr>
        <w:t>四、强制接管</w:t>
      </w:r>
    </w:p>
    <w:p>
      <w:pPr>
        <w:pStyle w:val="8"/>
        <w:numPr>
          <w:ilvl w:val="0"/>
          <w:numId w:val="11"/>
        </w:numPr>
        <w:tabs>
          <w:tab w:val="left" w:pos="1263"/>
        </w:tabs>
        <w:spacing w:before="189" w:after="0" w:line="240" w:lineRule="auto"/>
        <w:ind w:left="1262" w:right="0" w:hanging="423"/>
        <w:jc w:val="left"/>
        <w:rPr>
          <w:sz w:val="28"/>
        </w:rPr>
      </w:pPr>
      <w:r>
        <w:rPr>
          <w:color w:val="202020"/>
          <w:spacing w:val="-3"/>
          <w:sz w:val="28"/>
        </w:rPr>
        <w:t>管理人需开展的工作</w:t>
      </w:r>
    </w:p>
    <w:p>
      <w:pPr>
        <w:pStyle w:val="4"/>
        <w:spacing w:before="188" w:line="364" w:lineRule="auto"/>
        <w:ind w:left="220" w:right="840" w:firstLine="619"/>
        <w:jc w:val="both"/>
      </w:pPr>
      <w:r>
        <w:rPr>
          <w:color w:val="202020"/>
        </w:rPr>
        <w:t>依法应当接管的债务人财产，债务人有关人员拒不移交、故意拖延移交或部分移交，以及实施其他阻挠行为不配合接管的，管理人应注意做好以下工作：</w:t>
      </w:r>
    </w:p>
    <w:p>
      <w:pPr>
        <w:pStyle w:val="8"/>
        <w:numPr>
          <w:ilvl w:val="0"/>
          <w:numId w:val="12"/>
        </w:numPr>
        <w:tabs>
          <w:tab w:val="left" w:pos="1680"/>
        </w:tabs>
        <w:spacing w:before="0" w:after="0" w:line="357" w:lineRule="exact"/>
        <w:ind w:left="1680" w:right="0" w:hanging="840"/>
        <w:jc w:val="both"/>
        <w:rPr>
          <w:sz w:val="28"/>
        </w:rPr>
      </w:pPr>
      <w:r>
        <w:rPr>
          <w:color w:val="202020"/>
          <w:spacing w:val="-2"/>
          <w:sz w:val="28"/>
        </w:rPr>
        <w:t>约谈释明</w:t>
      </w:r>
    </w:p>
    <w:p>
      <w:pPr>
        <w:pStyle w:val="4"/>
        <w:spacing w:before="189" w:line="364" w:lineRule="auto"/>
        <w:ind w:left="220" w:right="840" w:firstLine="619"/>
        <w:jc w:val="both"/>
      </w:pPr>
      <w:r>
        <w:rPr>
          <w:color w:val="202020"/>
        </w:rPr>
        <w:t>管理人应约谈债务人有关人员，告知破产案件受理情况和接管事项，释明相关法律规定，明确依法配合接管义务以及拒不配合的法律后果。约谈应做好笔录或录音录像。</w:t>
      </w:r>
    </w:p>
    <w:p>
      <w:pPr>
        <w:pStyle w:val="8"/>
        <w:numPr>
          <w:ilvl w:val="0"/>
          <w:numId w:val="12"/>
        </w:numPr>
        <w:tabs>
          <w:tab w:val="left" w:pos="1542"/>
        </w:tabs>
        <w:spacing w:before="1" w:after="0" w:line="240" w:lineRule="auto"/>
        <w:ind w:left="1542" w:right="0" w:hanging="702"/>
        <w:jc w:val="left"/>
        <w:rPr>
          <w:sz w:val="28"/>
        </w:rPr>
      </w:pPr>
      <w:r>
        <w:rPr>
          <w:color w:val="202020"/>
          <w:spacing w:val="-3"/>
          <w:sz w:val="28"/>
        </w:rPr>
        <w:t>收集和固定证据</w:t>
      </w:r>
    </w:p>
    <w:p>
      <w:pPr>
        <w:spacing w:after="0" w:line="240" w:lineRule="auto"/>
        <w:jc w:val="left"/>
        <w:rPr>
          <w:sz w:val="28"/>
        </w:rPr>
        <w:sectPr>
          <w:pgSz w:w="11910" w:h="16840"/>
          <w:pgMar w:top="1600" w:right="1060" w:bottom="980" w:left="1260" w:header="1148" w:footer="793" w:gutter="0"/>
          <w:pgNumType w:fmt="decimal"/>
          <w:cols w:space="720" w:num="1"/>
        </w:sectPr>
      </w:pPr>
    </w:p>
    <w:p>
      <w:pPr>
        <w:pStyle w:val="4"/>
        <w:spacing w:before="57" w:line="364" w:lineRule="auto"/>
        <w:ind w:left="220" w:right="839" w:firstLine="619"/>
      </w:pPr>
      <w:r>
        <w:rPr>
          <w:color w:val="202020"/>
        </w:rPr>
        <w:t>对债务人有关人员拒不配合接管的行为，管理人须注意采取摄影、摄像、录音、笔录等方式收集、固定证据。</w:t>
      </w:r>
    </w:p>
    <w:p>
      <w:pPr>
        <w:pStyle w:val="8"/>
        <w:numPr>
          <w:ilvl w:val="0"/>
          <w:numId w:val="12"/>
        </w:numPr>
        <w:tabs>
          <w:tab w:val="left" w:pos="1542"/>
        </w:tabs>
        <w:spacing w:before="1" w:after="0" w:line="240" w:lineRule="auto"/>
        <w:ind w:left="1542" w:right="0" w:hanging="702"/>
        <w:jc w:val="left"/>
        <w:rPr>
          <w:sz w:val="28"/>
        </w:rPr>
      </w:pPr>
      <w:r>
        <w:rPr>
          <w:color w:val="202020"/>
          <w:spacing w:val="-3"/>
          <w:sz w:val="28"/>
        </w:rPr>
        <w:t>强制接管和预案制定</w:t>
      </w:r>
    </w:p>
    <w:p>
      <w:pPr>
        <w:pStyle w:val="4"/>
        <w:spacing w:before="189" w:line="364" w:lineRule="auto"/>
        <w:ind w:left="220" w:right="840" w:firstLine="619"/>
        <w:jc w:val="both"/>
      </w:pPr>
      <w:r>
        <w:rPr>
          <w:color w:val="202020"/>
        </w:rPr>
        <w:t>经释明后债务人有关人员仍然拒不配合接管的，管理人应实行强制接管。采取强制接管前，管理人需制定接管预案并报告法院。预案内容可包括接管范围、财产状况、拒不配合情形、拟采取的强制措施、准备工作和现场应急处置措施等。法院予以指导监督，确保强制接管稳妥进行。</w:t>
      </w:r>
    </w:p>
    <w:p>
      <w:pPr>
        <w:pStyle w:val="8"/>
        <w:numPr>
          <w:ilvl w:val="0"/>
          <w:numId w:val="12"/>
        </w:numPr>
        <w:tabs>
          <w:tab w:val="left" w:pos="1542"/>
        </w:tabs>
        <w:spacing w:before="0" w:after="0" w:line="356" w:lineRule="exact"/>
        <w:ind w:left="1542" w:right="0" w:hanging="702"/>
        <w:jc w:val="left"/>
        <w:rPr>
          <w:sz w:val="28"/>
        </w:rPr>
      </w:pPr>
      <w:r>
        <w:rPr>
          <w:color w:val="202020"/>
          <w:spacing w:val="-3"/>
          <w:sz w:val="28"/>
        </w:rPr>
        <w:t>保障债权人程序权利</w:t>
      </w:r>
    </w:p>
    <w:p>
      <w:pPr>
        <w:pStyle w:val="4"/>
        <w:spacing w:before="188" w:line="364" w:lineRule="auto"/>
        <w:ind w:left="220" w:right="840" w:firstLine="619"/>
      </w:pPr>
      <w:r>
        <w:rPr>
          <w:color w:val="202020"/>
        </w:rPr>
        <w:t>管理人可邀请债权人参与强制接管，保障债权人参与权、知情权和监督权，取得债权人的支持和协助。</w:t>
      </w:r>
    </w:p>
    <w:p>
      <w:pPr>
        <w:pStyle w:val="8"/>
        <w:numPr>
          <w:ilvl w:val="0"/>
          <w:numId w:val="11"/>
        </w:numPr>
        <w:tabs>
          <w:tab w:val="left" w:pos="1263"/>
        </w:tabs>
        <w:spacing w:before="1" w:after="0" w:line="240" w:lineRule="auto"/>
        <w:ind w:left="1262" w:right="0" w:hanging="423"/>
        <w:jc w:val="left"/>
        <w:rPr>
          <w:sz w:val="28"/>
        </w:rPr>
      </w:pPr>
      <w:r>
        <w:rPr>
          <w:color w:val="202020"/>
          <w:spacing w:val="-3"/>
          <w:sz w:val="28"/>
        </w:rPr>
        <w:t>申请法院依法处理</w:t>
      </w:r>
    </w:p>
    <w:p>
      <w:pPr>
        <w:pStyle w:val="4"/>
        <w:spacing w:before="187" w:line="364" w:lineRule="auto"/>
        <w:ind w:left="220" w:right="840" w:firstLine="619"/>
        <w:jc w:val="both"/>
      </w:pPr>
      <w:r>
        <w:rPr>
          <w:color w:val="202020"/>
        </w:rPr>
        <w:t>管理人开展上述工作后仍然未能完成接管的，应将相关情况以及申请拟采取的强制措施意见，书面报告法院。法院审查后依据《企业破产法》第一百二十七条、第一百二十九条、《中华人民共和国民事诉讼法》第一百一十一条、《中华人民共和国出境入境管理法》第十二条、《依法高效审理意见》第八条等规定作出处理。对涉嫌刑事犯罪的，依法移送公安机关。</w:t>
      </w:r>
    </w:p>
    <w:p>
      <w:pPr>
        <w:pStyle w:val="4"/>
        <w:spacing w:line="360" w:lineRule="auto"/>
        <w:ind w:left="840"/>
        <w:jc w:val="both"/>
        <w:rPr>
          <w:color w:val="202020"/>
        </w:rPr>
      </w:pPr>
      <w:r>
        <w:rPr>
          <w:color w:val="202020"/>
        </w:rPr>
        <w:t>来源： 上海破产法庭公众号</w:t>
      </w:r>
    </w:p>
    <w:p>
      <w:pPr>
        <w:pStyle w:val="4"/>
        <w:spacing w:line="360" w:lineRule="auto"/>
        <w:ind w:left="840"/>
        <w:jc w:val="both"/>
        <w:rPr>
          <w:color w:val="202020"/>
        </w:rPr>
      </w:pPr>
      <w:r>
        <w:rPr>
          <w:rFonts w:hint="eastAsia"/>
          <w:color w:val="202020"/>
        </w:rPr>
        <w:t>https://mp.weixin.qq.com/s/xdoFdnjywUoqRF7mte5R-g</w:t>
      </w:r>
    </w:p>
    <w:p>
      <w:pPr>
        <w:spacing w:after="0" w:line="360" w:lineRule="auto"/>
        <w:jc w:val="both"/>
        <w:sectPr>
          <w:pgSz w:w="11910" w:h="16840"/>
          <w:pgMar w:top="1600" w:right="1060" w:bottom="980" w:left="1260" w:header="1148" w:footer="793" w:gutter="0"/>
          <w:pgNumType w:fmt="decimal"/>
          <w:cols w:space="720" w:num="1"/>
        </w:sectPr>
      </w:pPr>
    </w:p>
    <w:p>
      <w:pPr>
        <w:pStyle w:val="3"/>
        <w:spacing w:before="57"/>
        <w:ind w:left="540"/>
      </w:pPr>
      <w:bookmarkStart w:id="38" w:name="上海破产法庭 | 《关于规范债务人对外股权投资处置工作办法（试行）》"/>
      <w:bookmarkEnd w:id="38"/>
      <w:r>
        <w:rPr>
          <w:color w:val="202020"/>
        </w:rPr>
        <w:t>上海破产法庭 | 《关于规范债务人对外股权投资处置工作办法</w:t>
      </w:r>
    </w:p>
    <w:p>
      <w:pPr>
        <w:spacing w:before="186"/>
        <w:ind w:left="540" w:right="0" w:firstLine="0"/>
        <w:jc w:val="left"/>
        <w:rPr>
          <w:b/>
          <w:sz w:val="28"/>
        </w:rPr>
      </w:pPr>
      <w:r>
        <w:rPr>
          <w:b/>
          <w:color w:val="202020"/>
          <w:sz w:val="28"/>
        </w:rPr>
        <w:t>（试行）》</w:t>
      </w:r>
    </w:p>
    <w:p>
      <w:pPr>
        <w:pStyle w:val="4"/>
        <w:spacing w:before="10"/>
        <w:rPr>
          <w:b/>
          <w:sz w:val="30"/>
        </w:rPr>
      </w:pPr>
    </w:p>
    <w:p>
      <w:pPr>
        <w:pStyle w:val="4"/>
        <w:ind w:left="660"/>
      </w:pPr>
      <w:r>
        <w:rPr>
          <w:color w:val="202020"/>
        </w:rPr>
        <w:t>上海破产法庭 2022-06-10 08:00 发表于上海</w:t>
      </w:r>
    </w:p>
    <w:p>
      <w:pPr>
        <w:pStyle w:val="4"/>
      </w:pPr>
    </w:p>
    <w:p>
      <w:pPr>
        <w:pStyle w:val="4"/>
        <w:spacing w:before="11"/>
      </w:pPr>
    </w:p>
    <w:p>
      <w:pPr>
        <w:pStyle w:val="3"/>
        <w:ind w:left="389" w:right="588"/>
        <w:jc w:val="center"/>
      </w:pPr>
      <w:r>
        <w:rPr>
          <w:color w:val="202020"/>
        </w:rPr>
        <w:t>关于规范债务人对外股权投资处置工作办法（试行）</w:t>
      </w:r>
    </w:p>
    <w:p>
      <w:pPr>
        <w:pStyle w:val="4"/>
        <w:rPr>
          <w:b/>
        </w:rPr>
      </w:pPr>
    </w:p>
    <w:p>
      <w:pPr>
        <w:pStyle w:val="4"/>
        <w:rPr>
          <w:b/>
        </w:rPr>
      </w:pPr>
    </w:p>
    <w:p>
      <w:pPr>
        <w:pStyle w:val="4"/>
        <w:spacing w:before="194" w:line="364" w:lineRule="auto"/>
        <w:ind w:left="439" w:right="465" w:firstLine="561"/>
        <w:jc w:val="both"/>
      </w:pPr>
      <w:r>
        <w:rPr>
          <w:color w:val="202020"/>
        </w:rPr>
        <w:t>为规范破产程序中债务人对外股权投资处置事项，促进管理人专业能力提升，实现债务人财产价值最大化，维护当事人合法权益，提高办理破产质效，根据《中华人民共和国企业破产法》（以下简称《企业破产法》）《中华人民共和国公司法》（以下简称《公司法》）《中华人民共和国证券法》及相关司法解释，以及国务院《优化营商环境条例》</w:t>
      </w:r>
    </w:p>
    <w:p>
      <w:pPr>
        <w:pStyle w:val="4"/>
        <w:spacing w:line="356" w:lineRule="exact"/>
        <w:ind w:left="421" w:right="588"/>
        <w:jc w:val="center"/>
      </w:pPr>
      <w:r>
        <w:rPr>
          <w:color w:val="202020"/>
        </w:rPr>
        <w:t>（国令第722号）、最高人民法院《全国法院破产审判工作会议纪要》</w:t>
      </w:r>
    </w:p>
    <w:p>
      <w:pPr>
        <w:pStyle w:val="4"/>
        <w:spacing w:before="183"/>
        <w:ind w:left="439"/>
      </w:pPr>
      <w:r>
        <w:rPr>
          <w:color w:val="202020"/>
        </w:rPr>
        <w:t>（法〔2018〕53号）、上海市高级人民法院《破产审判工作规范指引</w:t>
      </w:r>
    </w:p>
    <w:p>
      <w:pPr>
        <w:pStyle w:val="4"/>
        <w:spacing w:before="186"/>
        <w:ind w:left="439"/>
      </w:pPr>
      <w:r>
        <w:rPr>
          <w:color w:val="202020"/>
        </w:rPr>
        <w:t>（2021）》等指导意见，结合办理破产实践，制定本办法。</w:t>
      </w:r>
    </w:p>
    <w:p>
      <w:pPr>
        <w:pStyle w:val="4"/>
      </w:pPr>
    </w:p>
    <w:p>
      <w:pPr>
        <w:pStyle w:val="4"/>
        <w:spacing w:before="8"/>
        <w:rPr>
          <w:sz w:val="29"/>
        </w:rPr>
      </w:pPr>
    </w:p>
    <w:p>
      <w:pPr>
        <w:pStyle w:val="4"/>
        <w:ind w:left="1000"/>
      </w:pPr>
      <w:r>
        <w:rPr>
          <w:color w:val="202020"/>
        </w:rPr>
        <w:t>一、适用范围</w:t>
      </w:r>
    </w:p>
    <w:p>
      <w:pPr>
        <w:pStyle w:val="8"/>
        <w:numPr>
          <w:ilvl w:val="1"/>
          <w:numId w:val="11"/>
        </w:numPr>
        <w:tabs>
          <w:tab w:val="left" w:pos="1282"/>
        </w:tabs>
        <w:spacing w:before="191" w:after="0" w:line="364" w:lineRule="auto"/>
        <w:ind w:left="439" w:right="467" w:firstLine="561"/>
        <w:jc w:val="both"/>
        <w:rPr>
          <w:sz w:val="28"/>
        </w:rPr>
      </w:pPr>
      <w:r>
        <w:rPr>
          <w:color w:val="202020"/>
          <w:spacing w:val="-3"/>
          <w:sz w:val="28"/>
        </w:rPr>
        <w:t>管理人处置属于《最高人民法院关于适用〈中华人民共和国企业破产法〉若干问题的规定</w:t>
      </w:r>
      <w:r>
        <w:rPr>
          <w:color w:val="202020"/>
          <w:sz w:val="28"/>
        </w:rPr>
        <w:t>（二</w:t>
      </w:r>
      <w:r>
        <w:rPr>
          <w:color w:val="202020"/>
          <w:spacing w:val="-3"/>
          <w:sz w:val="28"/>
        </w:rPr>
        <w:t>）》第一条规定的债务人持有的股权，适</w:t>
      </w:r>
      <w:r>
        <w:rPr>
          <w:color w:val="202020"/>
          <w:spacing w:val="-2"/>
          <w:sz w:val="28"/>
        </w:rPr>
        <w:t>用本办法。</w:t>
      </w:r>
    </w:p>
    <w:p>
      <w:pPr>
        <w:pStyle w:val="4"/>
        <w:spacing w:before="3" w:line="364" w:lineRule="auto"/>
        <w:ind w:left="439" w:right="465" w:firstLine="561"/>
      </w:pPr>
      <w:r>
        <w:rPr>
          <w:color w:val="202020"/>
        </w:rPr>
        <w:t>本办法所指的债务人对外股权投资，是指债务人持有的有限责任公司、股份有限公司（以下均简称为标的公司）的股权、股份。</w:t>
      </w:r>
    </w:p>
    <w:p>
      <w:pPr>
        <w:pStyle w:val="4"/>
        <w:spacing w:before="4" w:line="362" w:lineRule="auto"/>
        <w:ind w:left="439" w:right="465" w:firstLine="561"/>
      </w:pPr>
      <w:r>
        <w:rPr>
          <w:color w:val="202020"/>
        </w:rPr>
        <w:t>管理人处置债务人在其他企业法人享有的投资权益，可参照本办法适用。</w:t>
      </w:r>
    </w:p>
    <w:p>
      <w:pPr>
        <w:pStyle w:val="4"/>
        <w:spacing w:before="9"/>
        <w:ind w:left="1000"/>
      </w:pPr>
      <w:r>
        <w:rPr>
          <w:color w:val="202020"/>
        </w:rPr>
        <w:t>二、基本原则</w:t>
      </w:r>
    </w:p>
    <w:p>
      <w:pPr>
        <w:spacing w:after="0"/>
        <w:sectPr>
          <w:pgSz w:w="11910" w:h="16840"/>
          <w:pgMar w:top="1600" w:right="1060" w:bottom="980" w:left="1260" w:header="1148" w:footer="793" w:gutter="0"/>
          <w:pgNumType w:fmt="decimal"/>
          <w:cols w:space="720" w:num="1"/>
        </w:sectPr>
      </w:pPr>
    </w:p>
    <w:p>
      <w:pPr>
        <w:pStyle w:val="8"/>
        <w:numPr>
          <w:ilvl w:val="1"/>
          <w:numId w:val="11"/>
        </w:numPr>
        <w:tabs>
          <w:tab w:val="left" w:pos="1282"/>
        </w:tabs>
        <w:spacing w:before="57" w:after="0" w:line="240" w:lineRule="auto"/>
        <w:ind w:left="1281" w:right="0" w:hanging="282"/>
        <w:jc w:val="left"/>
        <w:rPr>
          <w:sz w:val="28"/>
        </w:rPr>
      </w:pPr>
      <w:r>
        <w:rPr>
          <w:color w:val="202020"/>
          <w:spacing w:val="-3"/>
          <w:sz w:val="28"/>
        </w:rPr>
        <w:t>管理人处置债务人对外股权投资应遵循市场化、法治化原则。</w:t>
      </w:r>
    </w:p>
    <w:p>
      <w:pPr>
        <w:pStyle w:val="8"/>
        <w:numPr>
          <w:ilvl w:val="1"/>
          <w:numId w:val="11"/>
        </w:numPr>
        <w:tabs>
          <w:tab w:val="left" w:pos="1282"/>
        </w:tabs>
        <w:spacing w:before="188" w:after="0" w:line="367" w:lineRule="auto"/>
        <w:ind w:left="439" w:right="467" w:firstLine="561"/>
        <w:jc w:val="left"/>
        <w:rPr>
          <w:sz w:val="28"/>
        </w:rPr>
      </w:pPr>
      <w:r>
        <w:rPr>
          <w:color w:val="202020"/>
          <w:spacing w:val="-3"/>
          <w:sz w:val="28"/>
        </w:rPr>
        <w:t>管理人处置债务人对外股权投资，应当遵循处置财产价值最大化原则，并应采取积极、灵活措施，降低变现成本，提高变现价值。</w:t>
      </w:r>
    </w:p>
    <w:p>
      <w:pPr>
        <w:pStyle w:val="8"/>
        <w:numPr>
          <w:ilvl w:val="1"/>
          <w:numId w:val="11"/>
        </w:numPr>
        <w:tabs>
          <w:tab w:val="left" w:pos="1282"/>
        </w:tabs>
        <w:spacing w:before="0" w:after="0" w:line="364" w:lineRule="auto"/>
        <w:ind w:left="439" w:right="467" w:firstLine="561"/>
        <w:jc w:val="left"/>
        <w:rPr>
          <w:sz w:val="28"/>
        </w:rPr>
      </w:pPr>
      <w:r>
        <w:rPr>
          <w:color w:val="202020"/>
          <w:spacing w:val="-3"/>
          <w:sz w:val="28"/>
        </w:rPr>
        <w:t>管理人处置债务人对外股权投资，应当遵循效率原则，根据对外股权投资实际状况及时处置，防止财产贬值或破产费用不当增加。</w:t>
      </w:r>
    </w:p>
    <w:p>
      <w:pPr>
        <w:pStyle w:val="8"/>
        <w:numPr>
          <w:ilvl w:val="1"/>
          <w:numId w:val="11"/>
        </w:numPr>
        <w:tabs>
          <w:tab w:val="left" w:pos="1282"/>
        </w:tabs>
        <w:spacing w:before="1" w:after="0" w:line="364" w:lineRule="auto"/>
        <w:ind w:left="439" w:right="467" w:firstLine="561"/>
        <w:jc w:val="left"/>
        <w:rPr>
          <w:sz w:val="28"/>
        </w:rPr>
      </w:pPr>
      <w:r>
        <w:rPr>
          <w:color w:val="202020"/>
          <w:spacing w:val="-3"/>
          <w:sz w:val="28"/>
        </w:rPr>
        <w:t>管理人处置债务人对外股权投资，应遵循公开透明原则，保障债权人知情权，接受法院、债权人的监督。</w:t>
      </w:r>
    </w:p>
    <w:p>
      <w:pPr>
        <w:pStyle w:val="4"/>
        <w:spacing w:before="1"/>
        <w:ind w:left="1000"/>
      </w:pPr>
      <w:r>
        <w:rPr>
          <w:color w:val="202020"/>
        </w:rPr>
        <w:t>三、基本要求</w:t>
      </w:r>
    </w:p>
    <w:p>
      <w:pPr>
        <w:pStyle w:val="8"/>
        <w:numPr>
          <w:ilvl w:val="1"/>
          <w:numId w:val="11"/>
        </w:numPr>
        <w:tabs>
          <w:tab w:val="left" w:pos="1282"/>
        </w:tabs>
        <w:spacing w:before="191" w:after="0" w:line="364" w:lineRule="auto"/>
        <w:ind w:left="439" w:right="467" w:firstLine="561"/>
        <w:jc w:val="both"/>
        <w:rPr>
          <w:sz w:val="28"/>
        </w:rPr>
      </w:pPr>
      <w:r>
        <w:rPr>
          <w:color w:val="202020"/>
          <w:spacing w:val="-3"/>
          <w:sz w:val="28"/>
        </w:rPr>
        <w:t>管理人在履职过程中应当及时、全面调查债务人对外股权投资情况，并报告法院、债权人。债务人财产状况报告或管理人履职工作报告可依个案情况记载以下内容：</w:t>
      </w:r>
    </w:p>
    <w:p>
      <w:pPr>
        <w:pStyle w:val="8"/>
        <w:numPr>
          <w:ilvl w:val="0"/>
          <w:numId w:val="13"/>
        </w:numPr>
        <w:tabs>
          <w:tab w:val="left" w:pos="1703"/>
        </w:tabs>
        <w:spacing w:before="1" w:after="0" w:line="240" w:lineRule="auto"/>
        <w:ind w:left="1702" w:right="0" w:hanging="703"/>
        <w:jc w:val="left"/>
        <w:rPr>
          <w:sz w:val="28"/>
        </w:rPr>
      </w:pPr>
      <w:r>
        <w:rPr>
          <w:color w:val="202020"/>
          <w:spacing w:val="-3"/>
          <w:sz w:val="28"/>
        </w:rPr>
        <w:t>标的公司的设立沿革、股东及其出资情况；</w:t>
      </w:r>
    </w:p>
    <w:p>
      <w:pPr>
        <w:pStyle w:val="8"/>
        <w:numPr>
          <w:ilvl w:val="0"/>
          <w:numId w:val="13"/>
        </w:numPr>
        <w:tabs>
          <w:tab w:val="left" w:pos="1703"/>
        </w:tabs>
        <w:spacing w:before="191" w:after="0" w:line="240" w:lineRule="auto"/>
        <w:ind w:left="1702" w:right="0" w:hanging="703"/>
        <w:jc w:val="left"/>
        <w:rPr>
          <w:sz w:val="28"/>
        </w:rPr>
      </w:pPr>
      <w:r>
        <w:rPr>
          <w:color w:val="202020"/>
          <w:spacing w:val="-3"/>
          <w:sz w:val="28"/>
        </w:rPr>
        <w:t>债务人履行出资义务的情况；</w:t>
      </w:r>
    </w:p>
    <w:p>
      <w:pPr>
        <w:pStyle w:val="8"/>
        <w:numPr>
          <w:ilvl w:val="0"/>
          <w:numId w:val="13"/>
        </w:numPr>
        <w:tabs>
          <w:tab w:val="left" w:pos="1703"/>
        </w:tabs>
        <w:spacing w:before="188" w:after="0" w:line="240" w:lineRule="auto"/>
        <w:ind w:left="1702" w:right="0" w:hanging="703"/>
        <w:jc w:val="left"/>
        <w:rPr>
          <w:sz w:val="28"/>
        </w:rPr>
      </w:pPr>
      <w:r>
        <w:rPr>
          <w:color w:val="202020"/>
          <w:spacing w:val="-3"/>
          <w:sz w:val="28"/>
        </w:rPr>
        <w:t>标的公司的营业状态；</w:t>
      </w:r>
    </w:p>
    <w:p>
      <w:pPr>
        <w:pStyle w:val="8"/>
        <w:numPr>
          <w:ilvl w:val="0"/>
          <w:numId w:val="13"/>
        </w:numPr>
        <w:tabs>
          <w:tab w:val="left" w:pos="1703"/>
        </w:tabs>
        <w:spacing w:before="191" w:after="0" w:line="240" w:lineRule="auto"/>
        <w:ind w:left="1702" w:right="0" w:hanging="703"/>
        <w:jc w:val="left"/>
        <w:rPr>
          <w:sz w:val="28"/>
        </w:rPr>
      </w:pPr>
      <w:r>
        <w:rPr>
          <w:color w:val="202020"/>
          <w:spacing w:val="-3"/>
          <w:sz w:val="28"/>
        </w:rPr>
        <w:t>标的公司的财务状况；</w:t>
      </w:r>
    </w:p>
    <w:p>
      <w:pPr>
        <w:pStyle w:val="8"/>
        <w:numPr>
          <w:ilvl w:val="0"/>
          <w:numId w:val="13"/>
        </w:numPr>
        <w:tabs>
          <w:tab w:val="left" w:pos="1841"/>
        </w:tabs>
        <w:spacing w:before="191" w:after="0" w:line="240" w:lineRule="auto"/>
        <w:ind w:left="1840" w:right="0" w:hanging="841"/>
        <w:jc w:val="left"/>
        <w:rPr>
          <w:sz w:val="28"/>
        </w:rPr>
      </w:pPr>
      <w:r>
        <w:rPr>
          <w:color w:val="202020"/>
          <w:spacing w:val="-3"/>
          <w:sz w:val="28"/>
        </w:rPr>
        <w:t>对外股权投资的冻结、质押或其他权利负担情况；</w:t>
      </w:r>
    </w:p>
    <w:p>
      <w:pPr>
        <w:pStyle w:val="8"/>
        <w:numPr>
          <w:ilvl w:val="0"/>
          <w:numId w:val="13"/>
        </w:numPr>
        <w:tabs>
          <w:tab w:val="left" w:pos="1703"/>
        </w:tabs>
        <w:spacing w:before="191" w:after="0" w:line="240" w:lineRule="auto"/>
        <w:ind w:left="1702" w:right="0" w:hanging="703"/>
        <w:jc w:val="left"/>
        <w:rPr>
          <w:sz w:val="28"/>
        </w:rPr>
      </w:pPr>
      <w:r>
        <w:rPr>
          <w:color w:val="202020"/>
          <w:spacing w:val="-3"/>
          <w:sz w:val="28"/>
        </w:rPr>
        <w:t>对外股权投资涉诉讼、涉仲裁或其他争议情况；</w:t>
      </w:r>
    </w:p>
    <w:p>
      <w:pPr>
        <w:pStyle w:val="8"/>
        <w:numPr>
          <w:ilvl w:val="0"/>
          <w:numId w:val="13"/>
        </w:numPr>
        <w:tabs>
          <w:tab w:val="left" w:pos="1703"/>
        </w:tabs>
        <w:spacing w:before="188" w:after="0" w:line="240" w:lineRule="auto"/>
        <w:ind w:left="1702" w:right="0" w:hanging="703"/>
        <w:jc w:val="left"/>
        <w:rPr>
          <w:sz w:val="28"/>
        </w:rPr>
      </w:pPr>
      <w:r>
        <w:rPr>
          <w:color w:val="202020"/>
          <w:spacing w:val="-3"/>
          <w:sz w:val="28"/>
        </w:rPr>
        <w:t>标的公司及其他股东的配合情况；</w:t>
      </w:r>
    </w:p>
    <w:p>
      <w:pPr>
        <w:pStyle w:val="8"/>
        <w:numPr>
          <w:ilvl w:val="0"/>
          <w:numId w:val="13"/>
        </w:numPr>
        <w:tabs>
          <w:tab w:val="left" w:pos="1703"/>
        </w:tabs>
        <w:spacing w:before="191" w:after="0" w:line="240" w:lineRule="auto"/>
        <w:ind w:left="1702" w:right="0" w:hanging="703"/>
        <w:jc w:val="left"/>
        <w:rPr>
          <w:sz w:val="28"/>
        </w:rPr>
      </w:pPr>
      <w:r>
        <w:rPr>
          <w:color w:val="202020"/>
          <w:spacing w:val="-3"/>
          <w:sz w:val="28"/>
        </w:rPr>
        <w:t>标的公司与债务人之间是否存在实质合并破产情形；</w:t>
      </w:r>
    </w:p>
    <w:p>
      <w:pPr>
        <w:pStyle w:val="8"/>
        <w:numPr>
          <w:ilvl w:val="0"/>
          <w:numId w:val="13"/>
        </w:numPr>
        <w:tabs>
          <w:tab w:val="left" w:pos="1703"/>
        </w:tabs>
        <w:spacing w:before="191" w:after="0" w:line="367" w:lineRule="auto"/>
        <w:ind w:left="1000" w:right="2426" w:firstLine="0"/>
        <w:jc w:val="left"/>
        <w:rPr>
          <w:sz w:val="28"/>
        </w:rPr>
      </w:pPr>
      <w:r>
        <w:rPr>
          <w:color w:val="202020"/>
          <w:spacing w:val="-3"/>
          <w:sz w:val="28"/>
        </w:rPr>
        <w:t>其他需要向法院、债权人会议披露的事项。上述第一款应记载内容而未记载的，应说明理由。</w:t>
      </w:r>
    </w:p>
    <w:p>
      <w:pPr>
        <w:pStyle w:val="8"/>
        <w:numPr>
          <w:ilvl w:val="1"/>
          <w:numId w:val="11"/>
        </w:numPr>
        <w:tabs>
          <w:tab w:val="left" w:pos="1282"/>
        </w:tabs>
        <w:spacing w:before="0" w:after="0" w:line="364" w:lineRule="auto"/>
        <w:ind w:left="439" w:right="467" w:firstLine="561"/>
        <w:jc w:val="left"/>
        <w:rPr>
          <w:sz w:val="28"/>
        </w:rPr>
      </w:pPr>
      <w:r>
        <w:rPr>
          <w:color w:val="202020"/>
          <w:spacing w:val="-3"/>
          <w:sz w:val="28"/>
        </w:rPr>
        <w:t>管理人应按债务人对外股权投资情况，在债务人财产管理方案中针对性地列明对外股权投资的管理措施。</w:t>
      </w:r>
    </w:p>
    <w:p>
      <w:pPr>
        <w:pStyle w:val="4"/>
        <w:spacing w:line="364" w:lineRule="auto"/>
        <w:ind w:left="439" w:right="465" w:firstLine="561"/>
      </w:pPr>
      <w:r>
        <w:rPr>
          <w:color w:val="202020"/>
        </w:rPr>
        <w:t>管理人应依法代表债务人行使标的公司的股东权利，并采取必要措施避免对外股权投资的价值贬损。</w:t>
      </w:r>
    </w:p>
    <w:p>
      <w:pPr>
        <w:spacing w:after="0" w:line="364" w:lineRule="auto"/>
        <w:sectPr>
          <w:footerReference r:id="rId11" w:type="default"/>
          <w:pgSz w:w="11910" w:h="16840"/>
          <w:pgMar w:top="1600" w:right="1060" w:bottom="980" w:left="1260" w:header="1148" w:footer="793" w:gutter="0"/>
          <w:pgNumType w:fmt="decimal" w:start="30"/>
          <w:cols w:space="720" w:num="1"/>
        </w:sectPr>
      </w:pPr>
    </w:p>
    <w:p>
      <w:pPr>
        <w:pStyle w:val="8"/>
        <w:numPr>
          <w:ilvl w:val="1"/>
          <w:numId w:val="11"/>
        </w:numPr>
        <w:tabs>
          <w:tab w:val="left" w:pos="1421"/>
        </w:tabs>
        <w:spacing w:before="57" w:after="0" w:line="364" w:lineRule="auto"/>
        <w:ind w:left="439" w:right="607" w:firstLine="561"/>
        <w:jc w:val="both"/>
        <w:rPr>
          <w:sz w:val="28"/>
        </w:rPr>
      </w:pPr>
      <w:r>
        <w:rPr>
          <w:color w:val="202020"/>
          <w:spacing w:val="-3"/>
          <w:sz w:val="28"/>
        </w:rPr>
        <w:t>管理人应根据债务人对外股权投资情况，对需要变价的对外股权投资，在债务人财产变价方案中针对性地列明具体变价方法。</w:t>
      </w:r>
    </w:p>
    <w:p>
      <w:pPr>
        <w:pStyle w:val="4"/>
        <w:spacing w:before="4" w:line="364" w:lineRule="auto"/>
        <w:ind w:left="439" w:right="465" w:firstLine="561"/>
        <w:jc w:val="both"/>
      </w:pPr>
      <w:r>
        <w:rPr>
          <w:color w:val="202020"/>
        </w:rPr>
        <w:t>对外股权投资属于《企业破产法》第六十九条规定的债务人重大财产的，应依照《最高人民法院关于适用〈中华人民共和国企业破产法〉若干问题的规定（三）》第十五条的规定，单独制作变价方案并提交债权人会议表决。</w:t>
      </w:r>
    </w:p>
    <w:p>
      <w:pPr>
        <w:pStyle w:val="4"/>
        <w:ind w:left="1000"/>
      </w:pPr>
      <w:r>
        <w:rPr>
          <w:color w:val="202020"/>
        </w:rPr>
        <w:t>四、分类处置</w:t>
      </w:r>
    </w:p>
    <w:p>
      <w:pPr>
        <w:pStyle w:val="8"/>
        <w:numPr>
          <w:ilvl w:val="1"/>
          <w:numId w:val="11"/>
        </w:numPr>
        <w:tabs>
          <w:tab w:val="left" w:pos="1282"/>
        </w:tabs>
        <w:spacing w:before="188" w:after="0" w:line="364" w:lineRule="auto"/>
        <w:ind w:left="439" w:right="467" w:firstLine="561"/>
        <w:jc w:val="both"/>
        <w:rPr>
          <w:sz w:val="28"/>
        </w:rPr>
      </w:pPr>
      <w:r>
        <w:rPr>
          <w:color w:val="202020"/>
          <w:spacing w:val="-3"/>
          <w:sz w:val="28"/>
        </w:rPr>
        <w:t>管理人根据对外股权投资的具体情况，可通过拍卖或其他变价出售方式、标的公司自行清算、简易注销等行政退出方式、依法申请公司强制清算、依法申请破产、核销等途径进行处置。</w:t>
      </w:r>
    </w:p>
    <w:p>
      <w:pPr>
        <w:pStyle w:val="8"/>
        <w:numPr>
          <w:ilvl w:val="1"/>
          <w:numId w:val="11"/>
        </w:numPr>
        <w:tabs>
          <w:tab w:val="left" w:pos="1424"/>
        </w:tabs>
        <w:spacing w:before="4" w:after="0" w:line="364" w:lineRule="auto"/>
        <w:ind w:left="439" w:right="467" w:firstLine="561"/>
        <w:jc w:val="left"/>
        <w:rPr>
          <w:sz w:val="28"/>
        </w:rPr>
      </w:pPr>
      <w:r>
        <w:rPr>
          <w:color w:val="202020"/>
          <w:spacing w:val="-3"/>
          <w:sz w:val="28"/>
        </w:rPr>
        <w:t>管理人变价处置对外股权投资的，原则上应通过网络拍卖方式处置对外股权投资，或可通过经债权人会议表决通过的其他变价出售方式予以处置。</w:t>
      </w:r>
    </w:p>
    <w:p>
      <w:pPr>
        <w:pStyle w:val="4"/>
        <w:spacing w:before="1" w:line="364" w:lineRule="auto"/>
        <w:ind w:left="439" w:right="465" w:firstLine="561"/>
        <w:jc w:val="both"/>
      </w:pPr>
      <w:r>
        <w:rPr>
          <w:color w:val="202020"/>
        </w:rPr>
        <w:t>管理人可采取资产评估、市场询价、协商议价等方式拟定处置参考价；标的公司相关人员下落不明、无账册或账册不全的，管理人应充分全面地开展调查，根据调查结果并综合其他合理因素拟定处置参考价。管理人应在变价方案中充分说明拟定参考价的具体方式、依据，以供债权人会议决定起拍价或变现价。</w:t>
      </w:r>
    </w:p>
    <w:p>
      <w:pPr>
        <w:pStyle w:val="4"/>
        <w:spacing w:before="2" w:line="364" w:lineRule="auto"/>
        <w:ind w:left="439" w:right="465" w:firstLine="561"/>
        <w:jc w:val="both"/>
      </w:pPr>
      <w:r>
        <w:rPr>
          <w:color w:val="202020"/>
        </w:rPr>
        <w:t>标的公司拒不配合提交财务报表或评估所需材料的，管理人可通过依法代表债务人行使股东权利等方式要求其予以配合；必要时可请求法院予以协助。</w:t>
      </w:r>
    </w:p>
    <w:p>
      <w:pPr>
        <w:pStyle w:val="4"/>
        <w:spacing w:before="3" w:line="364" w:lineRule="auto"/>
        <w:ind w:left="439" w:right="465" w:firstLine="561"/>
      </w:pPr>
      <w:r>
        <w:rPr>
          <w:color w:val="202020"/>
        </w:rPr>
        <w:t>管理人变价处置对外股权投资涉及其他股东优先购买权的，应当依照法律法规和标的公司章程约定予以保障。</w:t>
      </w:r>
    </w:p>
    <w:p>
      <w:pPr>
        <w:pStyle w:val="4"/>
        <w:spacing w:before="2" w:line="364" w:lineRule="auto"/>
        <w:ind w:left="439" w:right="465" w:firstLine="561"/>
      </w:pPr>
      <w:r>
        <w:rPr>
          <w:color w:val="202020"/>
        </w:rPr>
        <w:t>管理人应当在拍卖公告中披露待处置对外股权投资已知的权利瑕疵或其他影响价格的重要事项。股权变更应当由相关部门批准的，管理人</w:t>
      </w:r>
    </w:p>
    <w:p>
      <w:pPr>
        <w:spacing w:after="0" w:line="364" w:lineRule="auto"/>
        <w:sectPr>
          <w:pgSz w:w="11910" w:h="16840"/>
          <w:pgMar w:top="1600" w:right="1060" w:bottom="980" w:left="1260" w:header="1148" w:footer="793" w:gutter="0"/>
          <w:pgNumType w:fmt="decimal"/>
          <w:cols w:space="720" w:num="1"/>
        </w:sectPr>
      </w:pPr>
    </w:p>
    <w:p>
      <w:pPr>
        <w:pStyle w:val="4"/>
        <w:spacing w:before="57" w:line="364" w:lineRule="auto"/>
        <w:ind w:left="439" w:right="467"/>
      </w:pPr>
      <w:r>
        <w:rPr>
          <w:color w:val="202020"/>
        </w:rPr>
        <w:t>应当在拍卖公告中载明法律、行政法规等专门规定的竞买人应当具备的资格或者条件。</w:t>
      </w:r>
    </w:p>
    <w:p>
      <w:pPr>
        <w:pStyle w:val="8"/>
        <w:numPr>
          <w:ilvl w:val="1"/>
          <w:numId w:val="11"/>
        </w:numPr>
        <w:tabs>
          <w:tab w:val="left" w:pos="1560"/>
        </w:tabs>
        <w:spacing w:before="4" w:after="0" w:line="364" w:lineRule="auto"/>
        <w:ind w:left="439" w:right="467" w:firstLine="561"/>
        <w:jc w:val="both"/>
        <w:rPr>
          <w:sz w:val="28"/>
        </w:rPr>
      </w:pPr>
      <w:r>
        <w:rPr>
          <w:color w:val="202020"/>
          <w:spacing w:val="-3"/>
          <w:sz w:val="28"/>
        </w:rPr>
        <w:t>标的公司出现《公司法》第一百八十条规定解散事由的，管理人应根据《公司法》第一百八十三条之规定，积极开展或推动标的公司及时成立清算组进行清算，并办理注销事宜。</w:t>
      </w:r>
    </w:p>
    <w:p>
      <w:pPr>
        <w:pStyle w:val="4"/>
        <w:spacing w:line="364" w:lineRule="auto"/>
        <w:ind w:left="439" w:right="465" w:firstLine="561"/>
      </w:pPr>
      <w:r>
        <w:rPr>
          <w:color w:val="202020"/>
          <w:spacing w:val="-3"/>
        </w:rPr>
        <w:t>标的公司尚不存在解散事由，但从未开展实际经营或经营陷入停顿的，管理人无法通过变价处置的，可提议召开标的公司股东会或股东大会作出解散决议、成立清算组进行自行清算；标的公司为债务人独资 的，管理人可依法代表债务人作出股东决定，依决定解散并成立清算组进行自行清算。</w:t>
      </w:r>
    </w:p>
    <w:p>
      <w:pPr>
        <w:pStyle w:val="8"/>
        <w:numPr>
          <w:ilvl w:val="1"/>
          <w:numId w:val="11"/>
        </w:numPr>
        <w:tabs>
          <w:tab w:val="left" w:pos="1424"/>
        </w:tabs>
        <w:spacing w:before="0" w:after="0" w:line="364" w:lineRule="auto"/>
        <w:ind w:left="439" w:right="465" w:firstLine="561"/>
        <w:jc w:val="left"/>
        <w:rPr>
          <w:sz w:val="28"/>
        </w:rPr>
      </w:pPr>
      <w:r>
        <w:rPr>
          <w:color w:val="202020"/>
          <w:spacing w:val="-3"/>
          <w:sz w:val="28"/>
        </w:rPr>
        <w:t>标的公司属于《中华人民共和国市场主体登记管理条例》（</w:t>
      </w:r>
      <w:r>
        <w:rPr>
          <w:color w:val="202020"/>
          <w:sz w:val="28"/>
        </w:rPr>
        <w:t>国令第746号</w:t>
      </w:r>
      <w:r>
        <w:rPr>
          <w:color w:val="202020"/>
          <w:spacing w:val="-3"/>
          <w:sz w:val="28"/>
        </w:rPr>
        <w:t>）</w:t>
      </w:r>
      <w:r>
        <w:rPr>
          <w:color w:val="202020"/>
          <w:spacing w:val="-2"/>
          <w:sz w:val="28"/>
        </w:rPr>
        <w:t>、《企业注销指引</w:t>
      </w:r>
      <w:r>
        <w:rPr>
          <w:color w:val="202020"/>
          <w:sz w:val="28"/>
        </w:rPr>
        <w:t>（2021）</w:t>
      </w:r>
      <w:r>
        <w:rPr>
          <w:color w:val="202020"/>
          <w:spacing w:val="-3"/>
          <w:sz w:val="28"/>
        </w:rPr>
        <w:t>》</w:t>
      </w:r>
      <w:r>
        <w:rPr>
          <w:color w:val="202020"/>
          <w:sz w:val="28"/>
        </w:rPr>
        <w:t>（</w:t>
      </w:r>
      <w:r>
        <w:rPr>
          <w:color w:val="202020"/>
          <w:spacing w:val="-3"/>
          <w:sz w:val="28"/>
        </w:rPr>
        <w:t>市场监管总局公告</w:t>
      </w:r>
      <w:r>
        <w:rPr>
          <w:color w:val="202020"/>
          <w:sz w:val="28"/>
        </w:rPr>
        <w:t>2021年</w:t>
      </w:r>
      <w:r>
        <w:rPr>
          <w:color w:val="202020"/>
          <w:spacing w:val="-1"/>
          <w:sz w:val="28"/>
        </w:rPr>
        <w:t>第48号</w:t>
      </w:r>
      <w:r>
        <w:rPr>
          <w:color w:val="202020"/>
          <w:spacing w:val="-3"/>
          <w:sz w:val="28"/>
        </w:rPr>
        <w:t>）规定的简易注销情形的，管理人应积极推动标的公司通过简易注销方式退出。</w:t>
      </w:r>
    </w:p>
    <w:p>
      <w:pPr>
        <w:pStyle w:val="4"/>
        <w:spacing w:before="3" w:line="367" w:lineRule="auto"/>
        <w:ind w:left="439" w:right="465" w:firstLine="561"/>
        <w:jc w:val="right"/>
      </w:pPr>
      <w:r>
        <w:rPr>
          <w:color w:val="202020"/>
        </w:rPr>
        <w:t>标的公司属于《上海市浦东新区市场主体退出若干规定》第三条、第四条、第六条、第八条等规定情形的，管理人应依规办理退出事项。管理人可积极尝试依《国务院关于开展营商环境创新试点工作的意</w:t>
      </w:r>
    </w:p>
    <w:p>
      <w:pPr>
        <w:pStyle w:val="4"/>
        <w:spacing w:line="364" w:lineRule="auto"/>
        <w:ind w:left="439" w:right="746"/>
      </w:pPr>
      <w:r>
        <w:rPr>
          <w:color w:val="202020"/>
        </w:rPr>
        <w:t>见》（国发［2021］24号），以及《上海市营商环境创新试点实施方案》（沪府发［2021］24号）推动标的公司退出市场。</w:t>
      </w:r>
    </w:p>
    <w:p>
      <w:pPr>
        <w:pStyle w:val="8"/>
        <w:numPr>
          <w:ilvl w:val="1"/>
          <w:numId w:val="11"/>
        </w:numPr>
        <w:tabs>
          <w:tab w:val="left" w:pos="1562"/>
        </w:tabs>
        <w:spacing w:before="0" w:after="0" w:line="364" w:lineRule="auto"/>
        <w:ind w:left="439" w:right="607" w:firstLine="561"/>
        <w:jc w:val="both"/>
        <w:rPr>
          <w:sz w:val="28"/>
        </w:rPr>
      </w:pPr>
      <w:r>
        <w:rPr>
          <w:color w:val="202020"/>
          <w:spacing w:val="-3"/>
          <w:sz w:val="28"/>
        </w:rPr>
        <w:t>标的公司已出现《最高人民法院关于适用&lt;中华人民共和国公司法&gt;若干问题的规定（</w:t>
      </w:r>
      <w:r>
        <w:rPr>
          <w:color w:val="202020"/>
          <w:sz w:val="28"/>
        </w:rPr>
        <w:t>二）</w:t>
      </w:r>
      <w:r>
        <w:rPr>
          <w:color w:val="202020"/>
          <w:spacing w:val="-3"/>
          <w:sz w:val="28"/>
        </w:rPr>
        <w:t>》第七条第二款规定情形的，管理人应及时向法院申请指定清算组进行清算。</w:t>
      </w:r>
    </w:p>
    <w:p>
      <w:pPr>
        <w:pStyle w:val="8"/>
        <w:numPr>
          <w:ilvl w:val="1"/>
          <w:numId w:val="11"/>
        </w:numPr>
        <w:tabs>
          <w:tab w:val="left" w:pos="1560"/>
        </w:tabs>
        <w:spacing w:before="0" w:after="0" w:line="362" w:lineRule="auto"/>
        <w:ind w:left="439" w:right="467" w:firstLine="561"/>
        <w:jc w:val="both"/>
        <w:rPr>
          <w:sz w:val="28"/>
        </w:rPr>
      </w:pPr>
      <w:r>
        <w:rPr>
          <w:color w:val="202020"/>
          <w:spacing w:val="-3"/>
          <w:sz w:val="28"/>
        </w:rPr>
        <w:t>标的公司已具备破产原因的，管理人可积极推动标的公司或其债权人提起标的公司破产申请。</w:t>
      </w:r>
    </w:p>
    <w:p>
      <w:pPr>
        <w:pStyle w:val="4"/>
        <w:spacing w:before="6"/>
        <w:ind w:left="1000"/>
      </w:pPr>
      <w:r>
        <w:rPr>
          <w:color w:val="202020"/>
        </w:rPr>
        <w:t>债务人对标的公司享有债权的，管理人可代表债务人直接提起标的</w:t>
      </w:r>
    </w:p>
    <w:p>
      <w:pPr>
        <w:spacing w:after="0"/>
        <w:sectPr>
          <w:pgSz w:w="11910" w:h="16840"/>
          <w:pgMar w:top="1600" w:right="1060" w:bottom="980" w:left="1260" w:header="1148" w:footer="793" w:gutter="0"/>
          <w:pgNumType w:fmt="decimal"/>
          <w:cols w:space="720" w:num="1"/>
        </w:sectPr>
      </w:pPr>
    </w:p>
    <w:p>
      <w:pPr>
        <w:pStyle w:val="4"/>
        <w:spacing w:before="57"/>
        <w:ind w:left="439"/>
      </w:pPr>
      <w:r>
        <w:rPr>
          <w:color w:val="202020"/>
          <w:spacing w:val="-3"/>
        </w:rPr>
        <w:t>公司破产申请。</w:t>
      </w:r>
    </w:p>
    <w:p>
      <w:pPr>
        <w:pStyle w:val="4"/>
        <w:spacing w:before="188" w:line="364" w:lineRule="auto"/>
        <w:ind w:left="439" w:right="467" w:firstLine="561"/>
      </w:pPr>
      <w:r>
        <w:rPr>
          <w:color w:val="202020"/>
          <w:spacing w:val="-3"/>
        </w:rPr>
        <w:t>债务人与标的公司之间存在法人人格高度混同、区分财产成本过 高、严重损害债权人公平清偿利益等情形的，管理人应依法向法院申请实质合并破产。</w:t>
      </w:r>
    </w:p>
    <w:p>
      <w:pPr>
        <w:pStyle w:val="8"/>
        <w:numPr>
          <w:ilvl w:val="1"/>
          <w:numId w:val="11"/>
        </w:numPr>
        <w:tabs>
          <w:tab w:val="left" w:pos="1424"/>
        </w:tabs>
        <w:spacing w:before="4" w:after="0" w:line="364" w:lineRule="auto"/>
        <w:ind w:left="439" w:right="465" w:firstLine="561"/>
        <w:jc w:val="left"/>
        <w:rPr>
          <w:sz w:val="28"/>
        </w:rPr>
      </w:pPr>
      <w:r>
        <w:rPr>
          <w:color w:val="202020"/>
          <w:spacing w:val="-3"/>
          <w:sz w:val="28"/>
        </w:rPr>
        <w:t>管理人无法按上述第</w:t>
      </w:r>
      <w:r>
        <w:rPr>
          <w:color w:val="202020"/>
          <w:spacing w:val="-1"/>
          <w:sz w:val="28"/>
        </w:rPr>
        <w:t>9</w:t>
      </w:r>
      <w:r>
        <w:rPr>
          <w:color w:val="202020"/>
          <w:spacing w:val="-2"/>
          <w:sz w:val="28"/>
        </w:rPr>
        <w:t>条至第</w:t>
      </w:r>
      <w:r>
        <w:rPr>
          <w:color w:val="202020"/>
          <w:sz w:val="28"/>
        </w:rPr>
        <w:t>14</w:t>
      </w:r>
      <w:r>
        <w:rPr>
          <w:color w:val="202020"/>
          <w:spacing w:val="-3"/>
          <w:sz w:val="28"/>
        </w:rPr>
        <w:t>条所列途径处置对外股权投资， 且经管理人调查未发现标的公司存在财产线索，或处置对外股权投资的支出将明显超过处置收益的,管理人应及时报告法院，提请债权人会议审议是否予以核销。</w:t>
      </w:r>
    </w:p>
    <w:p>
      <w:pPr>
        <w:pStyle w:val="4"/>
        <w:spacing w:before="2"/>
        <w:ind w:left="1000"/>
      </w:pPr>
      <w:r>
        <w:rPr>
          <w:color w:val="202020"/>
        </w:rPr>
        <w:t>五、其他情况处置</w:t>
      </w:r>
    </w:p>
    <w:p>
      <w:pPr>
        <w:pStyle w:val="8"/>
        <w:numPr>
          <w:ilvl w:val="1"/>
          <w:numId w:val="11"/>
        </w:numPr>
        <w:tabs>
          <w:tab w:val="left" w:pos="1560"/>
        </w:tabs>
        <w:spacing w:before="189" w:after="0" w:line="364" w:lineRule="auto"/>
        <w:ind w:left="439" w:right="467" w:firstLine="561"/>
        <w:jc w:val="both"/>
        <w:rPr>
          <w:sz w:val="28"/>
        </w:rPr>
      </w:pPr>
      <w:r>
        <w:rPr>
          <w:color w:val="202020"/>
          <w:spacing w:val="-3"/>
          <w:sz w:val="28"/>
        </w:rPr>
        <w:t>管理人处置上市公司股票，可以通过股票二级市场集中竞价、网络拍卖、大宗股票交易、协议转让等方式变现，或直接股票分配。股票分拆处置有利于变现或提升变现价格的，可以分拆处置。</w:t>
      </w:r>
    </w:p>
    <w:p>
      <w:pPr>
        <w:pStyle w:val="4"/>
        <w:spacing w:before="3" w:line="362" w:lineRule="auto"/>
        <w:ind w:left="439" w:right="465" w:firstLine="561"/>
      </w:pPr>
      <w:r>
        <w:rPr>
          <w:color w:val="202020"/>
        </w:rPr>
        <w:t>管理人处置上市公司股票，应遵守相关证券法律法规以及证券交易所交易规则。</w:t>
      </w:r>
    </w:p>
    <w:p>
      <w:pPr>
        <w:pStyle w:val="4"/>
        <w:spacing w:before="9" w:line="364" w:lineRule="auto"/>
        <w:ind w:left="439" w:right="465" w:firstLine="561"/>
        <w:jc w:val="both"/>
      </w:pPr>
      <w:r>
        <w:rPr>
          <w:color w:val="202020"/>
        </w:rPr>
        <w:t>管理人处置上市公司股票，应尽可能降低对二级市场的影响，并注意与上市公司、以及证券监管部门、证券交易所、证券登记结算机构等部门的及时沟通，防止影响二级市场稳定。</w:t>
      </w:r>
    </w:p>
    <w:p>
      <w:pPr>
        <w:pStyle w:val="4"/>
        <w:spacing w:before="3" w:line="364" w:lineRule="auto"/>
        <w:ind w:left="439" w:right="465" w:firstLine="561"/>
      </w:pPr>
      <w:r>
        <w:rPr>
          <w:color w:val="202020"/>
        </w:rPr>
        <w:t>上市公司股票被交易所实施退市风险警示的，管理人应及时报告法院；情况特别紧急的，应及时制作紧急处置方案。</w:t>
      </w:r>
    </w:p>
    <w:p>
      <w:pPr>
        <w:pStyle w:val="8"/>
        <w:numPr>
          <w:ilvl w:val="1"/>
          <w:numId w:val="11"/>
        </w:numPr>
        <w:tabs>
          <w:tab w:val="left" w:pos="1560"/>
        </w:tabs>
        <w:spacing w:before="4" w:after="0" w:line="364" w:lineRule="auto"/>
        <w:ind w:left="439" w:right="465" w:firstLine="561"/>
        <w:jc w:val="right"/>
        <w:rPr>
          <w:sz w:val="28"/>
        </w:rPr>
      </w:pPr>
      <w:r>
        <w:rPr>
          <w:color w:val="202020"/>
          <w:spacing w:val="-3"/>
          <w:sz w:val="28"/>
        </w:rPr>
        <w:t>管理人处置债务人境外及港澳台地区股权投资的，应遵循境外投资管理的相关规定；必要时可聘请境外专业机构提供相关协助服务。管理人处置对外股权投资，如需向香港特别行政区法院申请认可内</w:t>
      </w:r>
    </w:p>
    <w:p>
      <w:pPr>
        <w:pStyle w:val="4"/>
        <w:spacing w:before="1" w:line="364" w:lineRule="auto"/>
        <w:ind w:left="439" w:right="467"/>
        <w:jc w:val="both"/>
      </w:pPr>
      <w:r>
        <w:rPr>
          <w:color w:val="202020"/>
        </w:rPr>
        <w:t>地破产程序及管理人身份的，应遵循最高人民法院与香港特别行政区政府《关于内地与香港特别行政区法院相互认可和协助破产程序的会谈纪要》的相关规定执行。</w:t>
      </w:r>
    </w:p>
    <w:p>
      <w:pPr>
        <w:spacing w:after="0" w:line="364" w:lineRule="auto"/>
        <w:jc w:val="both"/>
        <w:sectPr>
          <w:pgSz w:w="11910" w:h="16840"/>
          <w:pgMar w:top="1600" w:right="1060" w:bottom="980" w:left="1260" w:header="1148" w:footer="793" w:gutter="0"/>
          <w:pgNumType w:fmt="decimal"/>
          <w:cols w:space="720" w:num="1"/>
        </w:sectPr>
      </w:pPr>
    </w:p>
    <w:p>
      <w:pPr>
        <w:pStyle w:val="4"/>
        <w:spacing w:before="57"/>
        <w:ind w:left="1000"/>
      </w:pPr>
      <w:r>
        <w:rPr>
          <w:color w:val="202020"/>
        </w:rPr>
        <w:t>六、其他事项</w:t>
      </w:r>
    </w:p>
    <w:p>
      <w:pPr>
        <w:pStyle w:val="8"/>
        <w:numPr>
          <w:ilvl w:val="1"/>
          <w:numId w:val="11"/>
        </w:numPr>
        <w:tabs>
          <w:tab w:val="left" w:pos="1424"/>
        </w:tabs>
        <w:spacing w:before="188" w:after="0" w:line="367" w:lineRule="auto"/>
        <w:ind w:left="439" w:right="607" w:firstLine="561"/>
        <w:jc w:val="left"/>
        <w:rPr>
          <w:sz w:val="28"/>
        </w:rPr>
      </w:pPr>
      <w:r>
        <w:rPr>
          <w:color w:val="202020"/>
          <w:spacing w:val="-3"/>
          <w:sz w:val="28"/>
        </w:rPr>
        <w:t>债务人破产程序终结后，发现对外股权投资处置仍有剩余财产可供分配的，应依《企业破产法》第一百二十三条之规定追加分配。</w:t>
      </w:r>
    </w:p>
    <w:p>
      <w:pPr>
        <w:pStyle w:val="8"/>
        <w:numPr>
          <w:ilvl w:val="1"/>
          <w:numId w:val="11"/>
        </w:numPr>
        <w:tabs>
          <w:tab w:val="left" w:pos="1560"/>
        </w:tabs>
        <w:spacing w:before="0" w:after="0" w:line="364" w:lineRule="auto"/>
        <w:ind w:left="439" w:right="746" w:firstLine="561"/>
        <w:jc w:val="left"/>
        <w:rPr>
          <w:sz w:val="28"/>
        </w:rPr>
      </w:pPr>
      <w:r>
        <w:rPr>
          <w:color w:val="202020"/>
          <w:spacing w:val="-3"/>
          <w:sz w:val="28"/>
        </w:rPr>
        <w:t>强制清算案件中，涉及对外股权投资处置的，参照本办法处理。</w:t>
      </w:r>
    </w:p>
    <w:p>
      <w:pPr>
        <w:pStyle w:val="4"/>
        <w:spacing w:before="58"/>
        <w:ind w:left="1096"/>
      </w:pPr>
      <w:bookmarkStart w:id="39" w:name="来源： 上海破产法庭公众号"/>
      <w:bookmarkEnd w:id="39"/>
      <w:r>
        <w:rPr>
          <w:color w:val="202020"/>
        </w:rPr>
        <w:t>来源： 上海破产法庭公众号</w:t>
      </w:r>
      <w:r>
        <w:rPr>
          <w:rFonts w:hint="eastAsia"/>
          <w:color w:val="202020"/>
        </w:rPr>
        <w:t>https://mp.weixin.qq.com/s/2NNY8zcvXPR0cVGL3F0z-A</w:t>
      </w:r>
    </w:p>
    <w:p>
      <w:pPr>
        <w:spacing w:after="0"/>
        <w:sectPr>
          <w:pgSz w:w="11910" w:h="16840"/>
          <w:pgMar w:top="1600" w:right="1060" w:bottom="980" w:left="1260" w:header="1148" w:footer="793" w:gutter="0"/>
          <w:pgNumType w:fmt="decimal"/>
          <w:cols w:space="720" w:num="1"/>
        </w:sectPr>
      </w:pPr>
    </w:p>
    <w:p>
      <w:pPr>
        <w:pStyle w:val="4"/>
        <w:spacing w:before="9"/>
        <w:rPr>
          <w:sz w:val="21"/>
        </w:rPr>
      </w:pPr>
    </w:p>
    <w:p>
      <w:pPr>
        <w:pStyle w:val="3"/>
        <w:spacing w:before="62" w:line="472" w:lineRule="auto"/>
        <w:ind w:left="540" w:right="1286"/>
      </w:pPr>
      <w:bookmarkStart w:id="40" w:name="四、北京破产法庭发布 “十问十答” 解读《北京破产法庭中小微企业快速重整工作办法"/>
      <w:bookmarkEnd w:id="40"/>
      <w:r>
        <w:rPr>
          <w:w w:val="95"/>
        </w:rPr>
        <w:t>四、北京破产法庭发布 “十问十答” 解读《北京破产法庭中小微</w:t>
      </w:r>
      <w:r>
        <w:t>企业快速重整工作办法（试行）》</w:t>
      </w:r>
    </w:p>
    <w:p>
      <w:pPr>
        <w:pStyle w:val="4"/>
        <w:spacing w:before="2"/>
        <w:ind w:left="540"/>
      </w:pPr>
      <w:r>
        <w:t>北京破产法庭 2022-06-08 10:57 发表于北京</w:t>
      </w:r>
    </w:p>
    <w:p>
      <w:pPr>
        <w:pStyle w:val="4"/>
        <w:spacing w:before="5"/>
        <w:rPr>
          <w:sz w:val="25"/>
        </w:rPr>
      </w:pPr>
      <w:r>
        <w:drawing>
          <wp:anchor distT="0" distB="0" distL="0" distR="0" simplePos="0" relativeHeight="251660288" behindDoc="0" locked="0" layoutInCell="1" allowOverlap="1">
            <wp:simplePos x="0" y="0"/>
            <wp:positionH relativeFrom="page">
              <wp:posOffset>939800</wp:posOffset>
            </wp:positionH>
            <wp:positionV relativeFrom="paragraph">
              <wp:posOffset>231140</wp:posOffset>
            </wp:positionV>
            <wp:extent cx="5657215" cy="2407920"/>
            <wp:effectExtent l="0" t="0" r="0" b="0"/>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31" cstate="print"/>
                    <a:stretch>
                      <a:fillRect/>
                    </a:stretch>
                  </pic:blipFill>
                  <pic:spPr>
                    <a:xfrm>
                      <a:off x="0" y="0"/>
                      <a:ext cx="5657025" cy="2407729"/>
                    </a:xfrm>
                    <a:prstGeom prst="rect">
                      <a:avLst/>
                    </a:prstGeom>
                  </pic:spPr>
                </pic:pic>
              </a:graphicData>
            </a:graphic>
          </wp:anchor>
        </w:drawing>
      </w:r>
    </w:p>
    <w:p>
      <w:pPr>
        <w:pStyle w:val="4"/>
        <w:rPr>
          <w:sz w:val="20"/>
        </w:rPr>
      </w:pPr>
    </w:p>
    <w:p>
      <w:pPr>
        <w:pStyle w:val="4"/>
        <w:rPr>
          <w:sz w:val="20"/>
        </w:rPr>
      </w:pPr>
    </w:p>
    <w:p>
      <w:pPr>
        <w:pStyle w:val="4"/>
        <w:spacing w:before="4"/>
        <w:rPr>
          <w:sz w:val="20"/>
        </w:rPr>
      </w:pPr>
    </w:p>
    <w:p>
      <w:pPr>
        <w:pStyle w:val="4"/>
        <w:spacing w:before="62" w:line="364" w:lineRule="auto"/>
        <w:ind w:left="220" w:right="801" w:firstLine="547"/>
        <w:jc w:val="both"/>
      </w:pPr>
      <w:r>
        <w:rPr>
          <w:spacing w:val="3"/>
        </w:rPr>
        <w:t>面临疫情的冲击，资金链断裂、资不抵债的中小微企业，除了停</w:t>
      </w:r>
      <w:r>
        <w:rPr>
          <w:spacing w:val="-6"/>
        </w:rPr>
        <w:t>产、裁员、关门……是否还有更好的途径？是否能够借助司法救助的力量，以另一种途径实现焕然重生？现在，为陷入困境的中小微企业专门</w:t>
      </w:r>
      <w:r>
        <w:rPr>
          <w:spacing w:val="-7"/>
        </w:rPr>
        <w:t>打造的司法救助方案出台啦！为中小微企业开出“专家号”，列出“号</w:t>
      </w:r>
      <w:r>
        <w:rPr>
          <w:spacing w:val="-8"/>
        </w:rPr>
        <w:t>脉单”，以快速重整的方式为企业卸下债务包袱、纾难解困。</w:t>
      </w:r>
    </w:p>
    <w:p>
      <w:pPr>
        <w:pStyle w:val="4"/>
      </w:pPr>
    </w:p>
    <w:p>
      <w:pPr>
        <w:pStyle w:val="4"/>
        <w:spacing w:before="7"/>
        <w:rPr>
          <w:sz w:val="39"/>
        </w:rPr>
      </w:pPr>
    </w:p>
    <w:p>
      <w:pPr>
        <w:pStyle w:val="4"/>
        <w:spacing w:before="1" w:line="364" w:lineRule="auto"/>
        <w:ind w:left="220" w:right="801" w:firstLine="547"/>
        <w:jc w:val="both"/>
      </w:pPr>
      <w:r>
        <w:rPr>
          <w:spacing w:val="-6"/>
        </w:rPr>
        <w:t>为支持中小微企业创新发展，加大困境企业救助力度，落实北京市关于开展营商环境创新试点工作的意见以及北京市培育和激发市场主体</w:t>
      </w:r>
      <w:r>
        <w:rPr>
          <w:spacing w:val="-1"/>
        </w:rPr>
        <w:t>活力、持续优化营商环境实施方案工作部署，</w:t>
      </w:r>
      <w:r>
        <w:rPr>
          <w:spacing w:val="-3"/>
        </w:rPr>
        <w:t>2022</w:t>
      </w:r>
      <w:r>
        <w:t>年</w:t>
      </w:r>
      <w:r>
        <w:rPr>
          <w:spacing w:val="3"/>
        </w:rPr>
        <w:t>4</w:t>
      </w:r>
      <w:r>
        <w:t>月25日，北京一</w:t>
      </w:r>
      <w:r>
        <w:rPr>
          <w:spacing w:val="-6"/>
        </w:rPr>
        <w:t>中院出台全国首个专门规范中小微企业快速重整的制度规范《中小微企</w:t>
      </w:r>
      <w:r>
        <w:t>业快速重整工作办法（试行）》（以下简称《办法》）。下面 “十问</w:t>
      </w:r>
      <w:r>
        <w:rPr>
          <w:spacing w:val="-8"/>
        </w:rPr>
        <w:t>十答” 带你读懂《办法》重点内容。</w:t>
      </w:r>
    </w:p>
    <w:p>
      <w:pPr>
        <w:spacing w:after="0" w:line="364" w:lineRule="auto"/>
        <w:jc w:val="both"/>
        <w:sectPr>
          <w:pgSz w:w="11910" w:h="16840"/>
          <w:pgMar w:top="1600" w:right="1060" w:bottom="980" w:left="1260" w:header="1148" w:footer="793" w:gutter="0"/>
          <w:pgNumType w:fmt="decimal"/>
          <w:cols w:space="720" w:num="1"/>
        </w:sectPr>
      </w:pPr>
    </w:p>
    <w:p>
      <w:pPr>
        <w:pStyle w:val="3"/>
        <w:spacing w:before="57"/>
        <w:ind w:left="1176"/>
      </w:pPr>
      <w:r>
        <w:t>1、 什么样的企业能够适用中小微企业快速重整？</w:t>
      </w:r>
    </w:p>
    <w:p>
      <w:pPr>
        <w:pStyle w:val="4"/>
        <w:rPr>
          <w:b/>
        </w:rPr>
      </w:pPr>
    </w:p>
    <w:p>
      <w:pPr>
        <w:pStyle w:val="4"/>
        <w:rPr>
          <w:b/>
          <w:sz w:val="29"/>
        </w:rPr>
      </w:pPr>
    </w:p>
    <w:p>
      <w:pPr>
        <w:pStyle w:val="4"/>
        <w:spacing w:line="364" w:lineRule="auto"/>
        <w:ind w:left="220" w:right="547" w:firstLine="559"/>
      </w:pPr>
      <w:r>
        <w:t>《办法》规定，根据资产负债表、审计报告等财务资料，企业无财产担保负债总额不超过1亿元或符合国务院相关部门制定的中小微企业划型标准规定的中小微企业，债权债务关系明确，财产状况清楚的，即满足适用中小微企业快速重整的条件。</w:t>
      </w:r>
    </w:p>
    <w:p>
      <w:pPr>
        <w:pStyle w:val="4"/>
        <w:spacing w:line="364" w:lineRule="auto"/>
        <w:ind w:left="220" w:right="686" w:firstLine="559"/>
        <w:jc w:val="both"/>
      </w:pPr>
      <w:r>
        <w:t>同时，虽不符合上述标准，但经过庭外重组或者预重整程序，已经形成庭外重组方案或预重整方案的企业重整案件亦可参照适用《办法》规定。</w:t>
      </w:r>
    </w:p>
    <w:p>
      <w:pPr>
        <w:pStyle w:val="4"/>
      </w:pPr>
    </w:p>
    <w:p>
      <w:pPr>
        <w:pStyle w:val="3"/>
        <w:spacing w:before="180"/>
      </w:pPr>
      <w:r>
        <w:t>2、 《办法》规定了哪些便利中小微企业重整的举措？</w:t>
      </w:r>
    </w:p>
    <w:p>
      <w:pPr>
        <w:pStyle w:val="4"/>
        <w:rPr>
          <w:b/>
        </w:rPr>
      </w:pPr>
    </w:p>
    <w:p>
      <w:pPr>
        <w:pStyle w:val="4"/>
        <w:spacing w:before="1"/>
        <w:rPr>
          <w:b/>
          <w:sz w:val="29"/>
        </w:rPr>
      </w:pPr>
    </w:p>
    <w:p>
      <w:pPr>
        <w:pStyle w:val="4"/>
        <w:spacing w:line="364" w:lineRule="auto"/>
        <w:ind w:left="220" w:right="686" w:firstLine="559"/>
        <w:jc w:val="both"/>
      </w:pPr>
      <w:r>
        <w:t>《办法》立足于中小微企业的经营特点，进一步明确了中小微企业重整规则及适用标准，适当简化重整程序，明确专精特新等中小微企业的重整价值推定原则，畅通中小微企业快速启动渠道，缩短各项程序期限，降低企业挽救成本；</w:t>
      </w:r>
    </w:p>
    <w:p>
      <w:pPr>
        <w:pStyle w:val="4"/>
        <w:spacing w:line="364" w:lineRule="auto"/>
        <w:ind w:left="220" w:right="686" w:firstLine="559"/>
        <w:jc w:val="both"/>
      </w:pPr>
      <w:r>
        <w:t>对于符合条件的中小微企业原则上采用债务人自行管理模式，允许一定条件下保留原出资人权益，鼓励中小微困境企业经营者及时申请重整；</w:t>
      </w:r>
    </w:p>
    <w:p>
      <w:pPr>
        <w:pStyle w:val="4"/>
        <w:spacing w:line="364" w:lineRule="auto"/>
        <w:ind w:left="220" w:right="686" w:firstLine="559"/>
        <w:jc w:val="both"/>
      </w:pPr>
      <w:r>
        <w:t>明确在与相应债权人协商一致的情况下，可以结合企业债务清偿方案，一并解决企业相关人员个人担保债务，在有效解决企业经营及债务危机，促进困境中小微企业重获新生活力的同时，帮助经营者及家庭成员获得债务减免。</w:t>
      </w:r>
    </w:p>
    <w:p>
      <w:pPr>
        <w:spacing w:after="0" w:line="364" w:lineRule="auto"/>
        <w:jc w:val="both"/>
        <w:sectPr>
          <w:pgSz w:w="11910" w:h="16840"/>
          <w:pgMar w:top="1600" w:right="1060" w:bottom="980" w:left="1260" w:header="1148" w:footer="793" w:gutter="0"/>
          <w:pgNumType w:fmt="decimal"/>
          <w:cols w:space="720" w:num="1"/>
        </w:sectPr>
      </w:pPr>
    </w:p>
    <w:p>
      <w:pPr>
        <w:pStyle w:val="3"/>
        <w:spacing w:before="57"/>
      </w:pPr>
      <w:r>
        <w:t>3、 中小微企业快速重整相较普通程序缩短了哪些程序期限？</w:t>
      </w:r>
    </w:p>
    <w:p>
      <w:pPr>
        <w:pStyle w:val="4"/>
        <w:rPr>
          <w:b/>
        </w:rPr>
      </w:pPr>
    </w:p>
    <w:p>
      <w:pPr>
        <w:pStyle w:val="4"/>
        <w:rPr>
          <w:b/>
          <w:sz w:val="29"/>
        </w:rPr>
      </w:pPr>
    </w:p>
    <w:p>
      <w:pPr>
        <w:pStyle w:val="4"/>
        <w:spacing w:line="364" w:lineRule="auto"/>
        <w:ind w:left="220" w:right="686" w:firstLine="559"/>
      </w:pPr>
      <w:r>
        <w:t>《办法》针对中小微企业重整程序特点，适当缩短各项程序期限， 一起来看看下面这张表格就一目了然啦！</w:t>
      </w:r>
    </w:p>
    <w:p>
      <w:pPr>
        <w:pStyle w:val="4"/>
        <w:spacing w:before="8"/>
        <w:rPr>
          <w:sz w:val="22"/>
        </w:rPr>
      </w:pPr>
      <w:r>
        <w:drawing>
          <wp:anchor distT="0" distB="0" distL="0" distR="0" simplePos="0" relativeHeight="251660288" behindDoc="0" locked="0" layoutInCell="1" allowOverlap="1">
            <wp:simplePos x="0" y="0"/>
            <wp:positionH relativeFrom="page">
              <wp:posOffset>920115</wp:posOffset>
            </wp:positionH>
            <wp:positionV relativeFrom="paragraph">
              <wp:posOffset>208280</wp:posOffset>
            </wp:positionV>
            <wp:extent cx="5708015" cy="3481705"/>
            <wp:effectExtent l="0" t="0" r="0" b="0"/>
            <wp:wrapTopAndBottom/>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jpeg"/>
                    <pic:cNvPicPr>
                      <a:picLocks noChangeAspect="1"/>
                    </pic:cNvPicPr>
                  </pic:nvPicPr>
                  <pic:blipFill>
                    <a:blip r:embed="rId32" cstate="print"/>
                    <a:stretch>
                      <a:fillRect/>
                    </a:stretch>
                  </pic:blipFill>
                  <pic:spPr>
                    <a:xfrm>
                      <a:off x="0" y="0"/>
                      <a:ext cx="5707777" cy="3481959"/>
                    </a:xfrm>
                    <a:prstGeom prst="rect">
                      <a:avLst/>
                    </a:prstGeom>
                  </pic:spPr>
                </pic:pic>
              </a:graphicData>
            </a:graphic>
          </wp:anchor>
        </w:drawing>
      </w:r>
    </w:p>
    <w:p>
      <w:pPr>
        <w:pStyle w:val="4"/>
        <w:spacing w:before="2"/>
        <w:rPr>
          <w:sz w:val="38"/>
        </w:rPr>
      </w:pPr>
    </w:p>
    <w:p>
      <w:pPr>
        <w:pStyle w:val="3"/>
      </w:pPr>
      <w:r>
        <w:t>4、怎样识别中小微企业的重整价值和重整可能？</w:t>
      </w:r>
    </w:p>
    <w:p>
      <w:pPr>
        <w:pStyle w:val="4"/>
        <w:rPr>
          <w:b/>
        </w:rPr>
      </w:pPr>
    </w:p>
    <w:p>
      <w:pPr>
        <w:pStyle w:val="4"/>
        <w:spacing w:before="3"/>
        <w:rPr>
          <w:b/>
          <w:sz w:val="29"/>
        </w:rPr>
      </w:pPr>
    </w:p>
    <w:p>
      <w:pPr>
        <w:pStyle w:val="4"/>
        <w:spacing w:line="362" w:lineRule="auto"/>
        <w:ind w:left="220" w:right="686" w:firstLine="559"/>
      </w:pPr>
      <w:r>
        <w:t>为畅通中小微企业重整启动渠道，《办法》对于中小微企业重整价值及重整可能的识别规定了较为宽松的审查标准。</w:t>
      </w:r>
    </w:p>
    <w:p>
      <w:pPr>
        <w:pStyle w:val="4"/>
        <w:spacing w:before="4" w:line="364" w:lineRule="auto"/>
        <w:ind w:left="220" w:right="686" w:firstLine="559"/>
      </w:pPr>
      <w:r>
        <w:t>债权人申请重整时，仅需要根据企业公开信息及债权人所掌握的其他信息对于债务人的重整价值和重整可能进行说明；</w:t>
      </w:r>
    </w:p>
    <w:p>
      <w:pPr>
        <w:pStyle w:val="4"/>
        <w:spacing w:line="364" w:lineRule="auto"/>
        <w:ind w:left="220" w:right="686" w:firstLine="559"/>
      </w:pPr>
      <w:r>
        <w:rPr>
          <w:spacing w:val="-3"/>
        </w:rPr>
        <w:t>债务人自行申请重整时，应当根据企业主营业务、经营情况等提交具有重整价值和重整可能的初步证明材料。债务人为专精特新中小企 业，北京证券交易所等全国性证券交易场所上市或挂牌的中小微企业， 或主营业务属于前沿科技、高新技术等领域的，除有相反证据外，应当</w:t>
      </w:r>
    </w:p>
    <w:p>
      <w:pPr>
        <w:spacing w:after="0" w:line="364" w:lineRule="auto"/>
        <w:sectPr>
          <w:pgSz w:w="11910" w:h="16840"/>
          <w:pgMar w:top="1600" w:right="1060" w:bottom="980" w:left="1260" w:header="1148" w:footer="793" w:gutter="0"/>
          <w:pgNumType w:fmt="decimal"/>
          <w:cols w:space="720" w:num="1"/>
        </w:sectPr>
      </w:pPr>
    </w:p>
    <w:p>
      <w:pPr>
        <w:pStyle w:val="4"/>
        <w:spacing w:before="57"/>
        <w:ind w:left="220"/>
      </w:pPr>
      <w:r>
        <w:t>推定债务人具有重整价值和重整可能。</w:t>
      </w:r>
    </w:p>
    <w:p>
      <w:pPr>
        <w:pStyle w:val="4"/>
      </w:pPr>
    </w:p>
    <w:p>
      <w:pPr>
        <w:pStyle w:val="4"/>
        <w:rPr>
          <w:sz w:val="29"/>
        </w:rPr>
      </w:pPr>
    </w:p>
    <w:p>
      <w:pPr>
        <w:pStyle w:val="3"/>
      </w:pPr>
      <w:r>
        <w:t>5、中小微企业重整案件如何选任管理人？</w:t>
      </w:r>
    </w:p>
    <w:p>
      <w:pPr>
        <w:pStyle w:val="4"/>
        <w:rPr>
          <w:b/>
        </w:rPr>
      </w:pPr>
    </w:p>
    <w:p>
      <w:pPr>
        <w:pStyle w:val="4"/>
        <w:spacing w:before="1"/>
        <w:rPr>
          <w:b/>
          <w:sz w:val="29"/>
        </w:rPr>
      </w:pPr>
    </w:p>
    <w:p>
      <w:pPr>
        <w:pStyle w:val="4"/>
        <w:spacing w:line="364" w:lineRule="auto"/>
        <w:ind w:left="220" w:right="686" w:firstLine="559"/>
      </w:pPr>
      <w:r>
        <w:t>中小微企业重整案件管理人一般通过随机方式在北京市企业破产案件社会中介机构管理人名册中指定。</w:t>
      </w:r>
    </w:p>
    <w:p>
      <w:pPr>
        <w:pStyle w:val="4"/>
        <w:spacing w:line="362" w:lineRule="auto"/>
        <w:ind w:left="780" w:right="686"/>
      </w:pPr>
      <w:r>
        <w:rPr>
          <w:spacing w:val="-3"/>
        </w:rPr>
        <w:t>如果根据案件情况确有必要的，可以采取竞争方式指定管理人。 经过预重整的案件，可以指定临时管理人为中小微企业重整案件管</w:t>
      </w:r>
    </w:p>
    <w:p>
      <w:pPr>
        <w:pStyle w:val="4"/>
        <w:spacing w:before="5"/>
        <w:ind w:left="220"/>
      </w:pPr>
      <w:r>
        <w:t>理人。</w:t>
      </w:r>
    </w:p>
    <w:p>
      <w:pPr>
        <w:pStyle w:val="4"/>
        <w:spacing w:before="186" w:line="364" w:lineRule="auto"/>
        <w:ind w:left="220" w:right="686" w:firstLine="559"/>
        <w:jc w:val="both"/>
      </w:pPr>
      <w:r>
        <w:t>同时，对于符合《北京破产法庭接受债权人推荐指定管理人的工作办法（试行）》规定的案件，可以指定相关权利人推荐的社会中介机构为中小微企业重整案件管理人。</w:t>
      </w:r>
    </w:p>
    <w:p>
      <w:pPr>
        <w:pStyle w:val="4"/>
        <w:spacing w:line="364" w:lineRule="auto"/>
        <w:ind w:left="220" w:right="686" w:firstLine="559"/>
      </w:pPr>
      <w:r>
        <w:t>中小微企业重整案件债务人自行管理财产和营业事务的，管理人报酬一般适当低于管理人管理的情形。</w:t>
      </w:r>
    </w:p>
    <w:p>
      <w:pPr>
        <w:pStyle w:val="4"/>
      </w:pPr>
    </w:p>
    <w:p>
      <w:pPr>
        <w:pStyle w:val="3"/>
        <w:spacing w:before="181"/>
      </w:pPr>
      <w:r>
        <w:t>6、中小微企业重整程序中债务人自行管理应当符合什么条件？</w:t>
      </w:r>
    </w:p>
    <w:p>
      <w:pPr>
        <w:pStyle w:val="4"/>
        <w:rPr>
          <w:b/>
        </w:rPr>
      </w:pPr>
    </w:p>
    <w:p>
      <w:pPr>
        <w:pStyle w:val="4"/>
        <w:spacing w:before="1"/>
        <w:rPr>
          <w:b/>
          <w:sz w:val="29"/>
        </w:rPr>
      </w:pPr>
    </w:p>
    <w:p>
      <w:pPr>
        <w:pStyle w:val="4"/>
        <w:spacing w:line="364" w:lineRule="auto"/>
        <w:ind w:left="220" w:right="686" w:firstLine="559"/>
      </w:pPr>
      <w:r>
        <w:rPr>
          <w:spacing w:val="-3"/>
        </w:rPr>
        <w:t>根据《办法》规定，中小微企业债务人的内部治理机制仍正常运 转，其自行管理有利于债务人继续经营，同时债务人不存在隐匿、转移财产及其他严重损害债权人利益的行为的情况的，即应当准许债务人自行管理财产和营业事务。</w:t>
      </w:r>
    </w:p>
    <w:p>
      <w:pPr>
        <w:pStyle w:val="4"/>
        <w:spacing w:line="364" w:lineRule="auto"/>
        <w:ind w:left="220" w:right="686" w:firstLine="559"/>
      </w:pPr>
      <w:r>
        <w:rPr>
          <w:spacing w:val="-3"/>
        </w:rPr>
        <w:t>在判断债务人是否符合上述自行管理的条件时，一般采取向债权 人、债务人相关人员等利害关系人了解情况、债务人提交相关证明材料或出具承诺等方式进行审查。法院准许债务人自行管理财产和营业事务的，债务人应当定期向管理人报告财产管理及营业情况。</w:t>
      </w:r>
    </w:p>
    <w:p>
      <w:pPr>
        <w:spacing w:after="0" w:line="364" w:lineRule="auto"/>
        <w:sectPr>
          <w:pgSz w:w="11910" w:h="16840"/>
          <w:pgMar w:top="1600" w:right="1060" w:bottom="980" w:left="1260" w:header="1148" w:footer="793" w:gutter="0"/>
          <w:pgNumType w:fmt="decimal"/>
          <w:cols w:space="720" w:num="1"/>
        </w:sectPr>
      </w:pPr>
    </w:p>
    <w:p>
      <w:pPr>
        <w:pStyle w:val="4"/>
        <w:rPr>
          <w:sz w:val="20"/>
        </w:rPr>
      </w:pPr>
    </w:p>
    <w:p>
      <w:pPr>
        <w:pStyle w:val="4"/>
        <w:spacing w:before="2"/>
        <w:rPr>
          <w:sz w:val="22"/>
        </w:rPr>
      </w:pPr>
    </w:p>
    <w:p>
      <w:pPr>
        <w:pStyle w:val="3"/>
        <w:spacing w:before="61" w:line="364" w:lineRule="auto"/>
        <w:ind w:left="220" w:right="515" w:firstLine="559"/>
      </w:pPr>
      <w:r>
        <w:rPr>
          <w:spacing w:val="-1"/>
          <w:w w:val="95"/>
        </w:rPr>
        <w:t xml:space="preserve">7、法院受理重整申请后，如何解除对中小微企业财产采取的保全措  </w:t>
      </w:r>
      <w:r>
        <w:rPr>
          <w:spacing w:val="-1"/>
        </w:rPr>
        <w:t>施？</w:t>
      </w:r>
    </w:p>
    <w:p>
      <w:pPr>
        <w:pStyle w:val="4"/>
        <w:rPr>
          <w:b/>
        </w:rPr>
      </w:pPr>
    </w:p>
    <w:p>
      <w:pPr>
        <w:pStyle w:val="4"/>
        <w:spacing w:before="185" w:line="364" w:lineRule="auto"/>
        <w:ind w:left="220" w:right="686" w:firstLine="559"/>
        <w:jc w:val="both"/>
      </w:pPr>
      <w:r>
        <w:t>法院受理重整申请后，自行管理的债务人或管理人可以持受理重整申请裁定书和指定管理人决定书，向相关部门申请解除对债务人财产的保全措施。</w:t>
      </w:r>
    </w:p>
    <w:p>
      <w:pPr>
        <w:pStyle w:val="4"/>
        <w:spacing w:line="364" w:lineRule="auto"/>
        <w:ind w:left="220" w:right="686" w:firstLine="559"/>
        <w:jc w:val="both"/>
      </w:pPr>
      <w:r>
        <w:t>如果相关部门未及时解除保全措施的，财产处置方案经债权人会议表决或经法院裁定批准后，自行管理的债务人或管理人可以带封处置债务人财产，处置后依据破产案件受理法院出具的法律文书办理财产解封及过户手续。</w:t>
      </w:r>
    </w:p>
    <w:p>
      <w:pPr>
        <w:pStyle w:val="4"/>
        <w:spacing w:line="364" w:lineRule="auto"/>
        <w:ind w:left="220" w:right="686" w:firstLine="559"/>
      </w:pPr>
      <w:r>
        <w:rPr>
          <w:spacing w:val="-3"/>
        </w:rPr>
        <w:t>如果债务人财产不适宜带封处置的，自行管理的债务人或管理人还可以申请破产案件受理法院出具法律文书，解除债务人财产的保全措 施。</w:t>
      </w:r>
    </w:p>
    <w:p>
      <w:pPr>
        <w:pStyle w:val="4"/>
      </w:pPr>
    </w:p>
    <w:p>
      <w:pPr>
        <w:pStyle w:val="3"/>
        <w:spacing w:before="179"/>
      </w:pPr>
      <w:r>
        <w:t>8、中小微企业重整是否可以保留原出资人权益？</w:t>
      </w:r>
    </w:p>
    <w:p>
      <w:pPr>
        <w:pStyle w:val="4"/>
        <w:rPr>
          <w:b/>
        </w:rPr>
      </w:pPr>
    </w:p>
    <w:p>
      <w:pPr>
        <w:pStyle w:val="4"/>
        <w:rPr>
          <w:b/>
          <w:sz w:val="29"/>
        </w:rPr>
      </w:pPr>
    </w:p>
    <w:p>
      <w:pPr>
        <w:pStyle w:val="4"/>
        <w:spacing w:before="1" w:line="364" w:lineRule="auto"/>
        <w:ind w:left="220" w:right="686" w:firstLine="559"/>
      </w:pPr>
      <w:r>
        <w:rPr>
          <w:spacing w:val="-3"/>
        </w:rPr>
        <w:t>中小微企业一般为轻资产的企业，其资产多为人力资本、客户资 源、知识产权等，对于原经营者具有较强的依赖性，经营权与所有权难以分割，考虑到中小微企业的这一特点，《办法》规定可以根据案件实际情况，保留原出资人权益。</w:t>
      </w:r>
    </w:p>
    <w:p>
      <w:pPr>
        <w:pStyle w:val="4"/>
        <w:spacing w:line="364" w:lineRule="auto"/>
        <w:ind w:left="220" w:right="686" w:firstLine="559"/>
        <w:jc w:val="both"/>
      </w:pPr>
      <w:r>
        <w:t>如中小微企业的出资人承诺投入资金或实物、知识产权、股权等非货币财产，或者承诺继续投入商业资源、专业能力等，有利于债务人重整的，重整计划草案可以规定保留部分或全部出资人权益。</w:t>
      </w:r>
    </w:p>
    <w:p>
      <w:pPr>
        <w:spacing w:after="0" w:line="364" w:lineRule="auto"/>
        <w:jc w:val="both"/>
        <w:sectPr>
          <w:pgSz w:w="11910" w:h="16840"/>
          <w:pgMar w:top="1600" w:right="1060" w:bottom="980" w:left="1260" w:header="1148" w:footer="793" w:gutter="0"/>
          <w:pgNumType w:fmt="decimal"/>
          <w:cols w:space="720" w:num="1"/>
        </w:sectPr>
      </w:pPr>
    </w:p>
    <w:p>
      <w:pPr>
        <w:pStyle w:val="3"/>
        <w:spacing w:before="57" w:line="364" w:lineRule="auto"/>
        <w:ind w:left="220" w:right="515" w:firstLine="559"/>
      </w:pPr>
      <w:r>
        <w:rPr>
          <w:spacing w:val="-1"/>
          <w:w w:val="95"/>
        </w:rPr>
        <w:t xml:space="preserve">9、中小微企业重整程序中是否可以一并处理经营者及其家庭成员为  </w:t>
      </w:r>
      <w:r>
        <w:rPr>
          <w:spacing w:val="-1"/>
        </w:rPr>
        <w:t>企业负担的连带债务？</w:t>
      </w:r>
    </w:p>
    <w:p>
      <w:pPr>
        <w:pStyle w:val="4"/>
        <w:rPr>
          <w:b/>
        </w:rPr>
      </w:pPr>
    </w:p>
    <w:p>
      <w:pPr>
        <w:pStyle w:val="4"/>
        <w:spacing w:before="185" w:line="364" w:lineRule="auto"/>
        <w:ind w:left="220" w:right="686" w:firstLine="559"/>
        <w:jc w:val="both"/>
      </w:pPr>
      <w:r>
        <w:t>基于中小微企业融资困难等特点，企业经营者及其家庭成员常为中小微企业债务提供担保。中小微企业挽救制度往往需要与个人债务清理程序相结合，才能彻底清理债权债务关系，为企业家提供重新开始的机会。</w:t>
      </w:r>
    </w:p>
    <w:p>
      <w:pPr>
        <w:pStyle w:val="4"/>
        <w:spacing w:line="364" w:lineRule="auto"/>
        <w:ind w:left="220" w:right="686" w:firstLine="559"/>
        <w:jc w:val="both"/>
      </w:pPr>
      <w:r>
        <w:t>针对中小微企业出资人、法定代表人、实际控制人等企业相关人员及其家庭成员为企业债务提供担保的情况，《办法》规定了相关债务与企业债务清理的途径，针对相应的担保债务，在取得担保人及相应债权人的同意后，可以结合中小微企业债务清偿方案，在重整计划草案中对于相关人员担保债务的清偿一并作出规定。</w:t>
      </w:r>
    </w:p>
    <w:p>
      <w:pPr>
        <w:pStyle w:val="4"/>
        <w:spacing w:before="12"/>
        <w:rPr>
          <w:sz w:val="41"/>
        </w:rPr>
      </w:pPr>
    </w:p>
    <w:p>
      <w:pPr>
        <w:pStyle w:val="3"/>
        <w:spacing w:line="364" w:lineRule="auto"/>
        <w:ind w:left="220" w:right="613" w:firstLine="559"/>
      </w:pPr>
      <w:r>
        <w:rPr>
          <w:w w:val="95"/>
        </w:rPr>
        <w:t xml:space="preserve">10、如受疫情影响，中小微企业无法按期提交或执行重整计划如何 </w:t>
      </w:r>
      <w:r>
        <w:t>处理？</w:t>
      </w:r>
    </w:p>
    <w:p>
      <w:pPr>
        <w:pStyle w:val="4"/>
        <w:rPr>
          <w:b/>
        </w:rPr>
      </w:pPr>
    </w:p>
    <w:p>
      <w:pPr>
        <w:pStyle w:val="4"/>
        <w:spacing w:before="185" w:line="364" w:lineRule="auto"/>
        <w:ind w:left="220" w:right="686" w:firstLine="559"/>
        <w:jc w:val="both"/>
      </w:pPr>
      <w:r>
        <w:t>重整期间，自行管理的债务人或管理人如果因疫情或者疫情防控措施影响而无法开展尽职调查、协商谈判等工作，不能按期提交重整计划草案的，法院可以依自行管理的债务人或者管理人的申请，考虑疫情或者疫情防控措施对重整工作的实际影响程度，合理确定不计入重整计划提交期限的期间，但一般不得超过六个月。</w:t>
      </w:r>
    </w:p>
    <w:p>
      <w:pPr>
        <w:pStyle w:val="4"/>
        <w:spacing w:line="364" w:lineRule="auto"/>
        <w:ind w:left="220" w:right="686" w:firstLine="559"/>
      </w:pPr>
      <w:r>
        <w:t>债务人因疫情或者疫情防控措施影响而难以执行重整计划的，法院应当积极引导当事人充分协商予以变更。</w:t>
      </w:r>
    </w:p>
    <w:p>
      <w:pPr>
        <w:pStyle w:val="4"/>
        <w:spacing w:line="364" w:lineRule="auto"/>
        <w:ind w:left="220" w:right="686" w:firstLine="559"/>
      </w:pPr>
      <w:r>
        <w:t>仅涉及执行期限变更的，法院可以依债务人或债权人的申请，作出延长重整计划执行期限的裁定，延长的期限一般不得超过六个月。</w:t>
      </w:r>
    </w:p>
    <w:p>
      <w:pPr>
        <w:spacing w:after="0" w:line="364" w:lineRule="auto"/>
        <w:sectPr>
          <w:footerReference r:id="rId12" w:type="default"/>
          <w:pgSz w:w="11910" w:h="16840"/>
          <w:pgMar w:top="1600" w:right="1060" w:bottom="980" w:left="1260" w:header="1148" w:footer="793" w:gutter="0"/>
          <w:pgNumType w:fmt="decimal" w:start="40"/>
          <w:cols w:space="720" w:num="1"/>
        </w:sectPr>
      </w:pPr>
    </w:p>
    <w:p>
      <w:pPr>
        <w:pStyle w:val="4"/>
        <w:rPr>
          <w:sz w:val="20"/>
        </w:rPr>
      </w:pPr>
    </w:p>
    <w:p>
      <w:pPr>
        <w:pStyle w:val="4"/>
        <w:spacing w:before="2"/>
        <w:rPr>
          <w:sz w:val="22"/>
        </w:rPr>
      </w:pPr>
    </w:p>
    <w:p>
      <w:pPr>
        <w:pStyle w:val="4"/>
        <w:spacing w:before="61" w:line="364" w:lineRule="auto"/>
        <w:ind w:left="220" w:right="686" w:firstLine="559"/>
        <w:jc w:val="both"/>
      </w:pPr>
      <w:r>
        <w:t>以上是我们关于《中小微企业快速重整工作办法（试行）》常见问题的解答，希望对解决您的问题和疑惑有所帮助。下一步工作中，北京法院也将持续强化破产审判功能作用，丰富重整司法实践，提振市场主体信心，激发市场主体活力，为深入服务优化首都营商环境保驾护航。</w:t>
      </w:r>
    </w:p>
    <w:p>
      <w:pPr>
        <w:pStyle w:val="4"/>
      </w:pPr>
    </w:p>
    <w:p>
      <w:pPr>
        <w:pStyle w:val="4"/>
        <w:spacing w:before="184"/>
        <w:ind w:right="417"/>
        <w:jc w:val="right"/>
      </w:pPr>
      <w:r>
        <w:rPr>
          <w:spacing w:val="-3"/>
        </w:rPr>
        <w:t>供稿：北京一中院</w:t>
      </w:r>
    </w:p>
    <w:p>
      <w:pPr>
        <w:pStyle w:val="4"/>
        <w:spacing w:before="184" w:line="367" w:lineRule="auto"/>
        <w:ind w:left="5810" w:right="417" w:firstLine="1958"/>
        <w:jc w:val="right"/>
      </w:pPr>
      <w:r>
        <w:rPr>
          <w:spacing w:val="-5"/>
        </w:rPr>
        <w:t>作者：刘琦</w:t>
      </w:r>
      <w:r>
        <w:rPr>
          <w:spacing w:val="-4"/>
        </w:rPr>
        <w:t>编辑：武英琦 方硕 姚日辉</w:t>
      </w:r>
    </w:p>
    <w:p>
      <w:pPr>
        <w:pStyle w:val="4"/>
        <w:spacing w:before="11"/>
        <w:rPr>
          <w:sz w:val="41"/>
        </w:rPr>
      </w:pPr>
    </w:p>
    <w:p>
      <w:pPr>
        <w:pStyle w:val="4"/>
        <w:spacing w:line="360" w:lineRule="auto"/>
        <w:ind w:left="780"/>
      </w:pPr>
      <w:r>
        <w:t>来源：北京破产法庭公众号</w:t>
      </w:r>
    </w:p>
    <w:p>
      <w:pPr>
        <w:pStyle w:val="4"/>
        <w:spacing w:line="360" w:lineRule="auto"/>
        <w:ind w:left="780"/>
      </w:pPr>
      <w:r>
        <w:rPr>
          <w:rFonts w:hint="eastAsia"/>
        </w:rPr>
        <w:t>https://mp.weixin.qq.com/s/1Ku2HHE_swxfWn5RzNvjog</w:t>
      </w:r>
    </w:p>
    <w:p>
      <w:pPr>
        <w:spacing w:after="0" w:line="360" w:lineRule="auto"/>
        <w:sectPr>
          <w:pgSz w:w="11910" w:h="16840"/>
          <w:pgMar w:top="1600" w:right="1060" w:bottom="980" w:left="1260" w:header="1148" w:footer="793" w:gutter="0"/>
          <w:pgNumType w:fmt="decimal"/>
          <w:cols w:space="720" w:num="1"/>
        </w:sectPr>
      </w:pPr>
    </w:p>
    <w:p>
      <w:pPr>
        <w:pStyle w:val="4"/>
        <w:spacing w:before="1"/>
        <w:rPr>
          <w:sz w:val="22"/>
        </w:rPr>
      </w:pPr>
    </w:p>
    <w:p>
      <w:pPr>
        <w:spacing w:before="62" w:line="405" w:lineRule="auto"/>
        <w:ind w:left="616" w:right="933" w:hanging="396"/>
        <w:jc w:val="left"/>
        <w:rPr>
          <w:sz w:val="28"/>
        </w:rPr>
      </w:pPr>
      <w:r>
        <w:rPr>
          <w:b/>
          <w:spacing w:val="-1"/>
          <w:w w:val="95"/>
          <w:sz w:val="28"/>
        </w:rPr>
        <w:t>五、株洲市中级人民法院发布《破产案件预重整工作指引</w:t>
      </w:r>
      <w:r>
        <w:rPr>
          <w:b/>
          <w:w w:val="95"/>
          <w:sz w:val="28"/>
        </w:rPr>
        <w:t xml:space="preserve">（试行）》  </w:t>
      </w:r>
      <w:r>
        <w:rPr>
          <w:spacing w:val="-2"/>
          <w:sz w:val="28"/>
        </w:rPr>
        <w:t xml:space="preserve">株洲中院 </w:t>
      </w:r>
      <w:r>
        <w:rPr>
          <w:sz w:val="28"/>
        </w:rPr>
        <w:t>2022-06-08</w:t>
      </w:r>
      <w:r>
        <w:rPr>
          <w:spacing w:val="-3"/>
          <w:sz w:val="28"/>
        </w:rPr>
        <w:t xml:space="preserve"> </w:t>
      </w:r>
      <w:r>
        <w:rPr>
          <w:sz w:val="28"/>
        </w:rPr>
        <w:t>22:14</w:t>
      </w:r>
      <w:r>
        <w:rPr>
          <w:spacing w:val="-3"/>
          <w:sz w:val="28"/>
        </w:rPr>
        <w:t xml:space="preserve"> 发表于湖南</w:t>
      </w:r>
    </w:p>
    <w:p>
      <w:pPr>
        <w:pStyle w:val="4"/>
      </w:pPr>
    </w:p>
    <w:p>
      <w:pPr>
        <w:pStyle w:val="4"/>
        <w:spacing w:before="245" w:line="364" w:lineRule="auto"/>
        <w:ind w:left="220" w:right="686" w:firstLine="559"/>
      </w:pPr>
      <w:r>
        <w:t>株洲市中级人民法院破产案件预重整工作指引（试行）》（以下简称《预重整指引》）于6月6日正式公布试行。</w:t>
      </w:r>
    </w:p>
    <w:p>
      <w:pPr>
        <w:pStyle w:val="4"/>
      </w:pPr>
    </w:p>
    <w:p>
      <w:pPr>
        <w:pStyle w:val="4"/>
        <w:rPr>
          <w:sz w:val="24"/>
        </w:rPr>
      </w:pPr>
    </w:p>
    <w:p>
      <w:pPr>
        <w:pStyle w:val="4"/>
        <w:spacing w:line="364" w:lineRule="auto"/>
        <w:ind w:left="220" w:right="686" w:firstLine="559"/>
      </w:pPr>
      <w:r>
        <w:rPr>
          <w:spacing w:val="-3"/>
        </w:rPr>
        <w:t>该指引全面聚焦落实“三高四新”战略定位和使命任务，围绕“培育制造名城、建设幸福株洲”的目标，为优化株洲市营商环境，充分发挥司法推动经济转型升级的职能作用，提出了</w:t>
      </w:r>
      <w:r>
        <w:t>25</w:t>
      </w:r>
      <w:r>
        <w:rPr>
          <w:spacing w:val="-3"/>
        </w:rPr>
        <w:t>条具体工作规范。指引通过对预重整主体、启动、府院联动、识别、管理人选任、效力、衔 接、终结等全方位的规定，探索构建具有株洲特色的“庭外重组与庭内重整相衔接”困境公司解救机制，维护债务人、利害关系人多元化利 益，打造帮助困境企业“涅槃重生”的株洲模式，以司法引领和保障现代化新株洲建设。</w:t>
      </w:r>
    </w:p>
    <w:p>
      <w:pPr>
        <w:pStyle w:val="4"/>
      </w:pPr>
    </w:p>
    <w:p>
      <w:pPr>
        <w:pStyle w:val="4"/>
        <w:spacing w:before="7"/>
        <w:rPr>
          <w:sz w:val="23"/>
        </w:rPr>
      </w:pPr>
    </w:p>
    <w:p>
      <w:pPr>
        <w:pStyle w:val="4"/>
        <w:spacing w:before="1" w:line="364" w:lineRule="auto"/>
        <w:ind w:left="220" w:right="686" w:firstLine="559"/>
        <w:jc w:val="both"/>
      </w:pPr>
      <w:r>
        <w:t>预重整是在受理重整申请前，债务人与债权人、出资人等利害关系人就债务人重整事项进行谈判并形成预重整方案，再向人民法院提出重整申请的破产重整模式。预重整制度是我国现行破产法律中的一项新生事物，目前仅在几个试点城市探索运行。</w:t>
      </w:r>
    </w:p>
    <w:p>
      <w:pPr>
        <w:pStyle w:val="4"/>
      </w:pPr>
    </w:p>
    <w:p>
      <w:pPr>
        <w:pStyle w:val="4"/>
        <w:spacing w:before="11"/>
        <w:rPr>
          <w:sz w:val="23"/>
        </w:rPr>
      </w:pPr>
    </w:p>
    <w:p>
      <w:pPr>
        <w:pStyle w:val="4"/>
        <w:spacing w:line="364" w:lineRule="auto"/>
        <w:ind w:left="220" w:right="686" w:firstLine="559"/>
      </w:pPr>
      <w:r>
        <w:rPr>
          <w:spacing w:val="-3"/>
        </w:rPr>
        <w:t>株洲中院借鉴采用深圳模式，法院收到重整申请后，先进行预立 案，经听证作出初步判断，认为有重整价值和希望的，在受理重整申请前先行指定管理人，管理人将重整程序应进行的部分工作提前到预重整阶段，由法院主导预重整，管理人负责具体事务。该模式结合了法庭外</w:t>
      </w:r>
    </w:p>
    <w:p>
      <w:pPr>
        <w:spacing w:after="0" w:line="364" w:lineRule="auto"/>
        <w:sectPr>
          <w:pgSz w:w="11910" w:h="16840"/>
          <w:pgMar w:top="1600" w:right="1060" w:bottom="980" w:left="1260" w:header="1148" w:footer="793" w:gutter="0"/>
          <w:pgNumType w:fmt="decimal"/>
          <w:cols w:space="720" w:num="1"/>
        </w:sectPr>
      </w:pPr>
    </w:p>
    <w:p>
      <w:pPr>
        <w:pStyle w:val="4"/>
        <w:spacing w:before="57" w:line="364" w:lineRule="auto"/>
        <w:ind w:left="220" w:right="967"/>
        <w:jc w:val="both"/>
      </w:pPr>
      <w:r>
        <w:t>债权债务人意思自治自行协商，与法庭内法院主导流程规范严谨的优点，搭建了债权人、债务人互信互利的“桥梁”，降低了各方谈判成本，畅通了投资渠道，盘活了“沉睡”资产。</w:t>
      </w:r>
    </w:p>
    <w:p>
      <w:pPr>
        <w:pStyle w:val="4"/>
      </w:pPr>
    </w:p>
    <w:p>
      <w:pPr>
        <w:pStyle w:val="4"/>
        <w:spacing w:before="9"/>
        <w:rPr>
          <w:sz w:val="23"/>
        </w:rPr>
      </w:pPr>
    </w:p>
    <w:p>
      <w:pPr>
        <w:pStyle w:val="4"/>
        <w:spacing w:before="1" w:line="364" w:lineRule="auto"/>
        <w:ind w:left="220" w:right="686" w:firstLine="559"/>
      </w:pPr>
      <w:r>
        <w:rPr>
          <w:spacing w:val="-3"/>
        </w:rPr>
        <w:t>在适用主体方面，《预重整指引》明确了影响社会稳定的大型企 业、占据行业龙头的大型企业、涉及众多购房者权益的房地产开发企 业、具有金融和准金融机构性质的企业等六类直接受理重整申请可能对债务人生产经营产生负面影响或者产生重大社会不稳定因素的主体。</w:t>
      </w:r>
    </w:p>
    <w:p>
      <w:pPr>
        <w:pStyle w:val="4"/>
      </w:pPr>
    </w:p>
    <w:p>
      <w:pPr>
        <w:pStyle w:val="4"/>
        <w:spacing w:before="11"/>
        <w:rPr>
          <w:sz w:val="23"/>
        </w:rPr>
      </w:pPr>
    </w:p>
    <w:p>
      <w:pPr>
        <w:pStyle w:val="4"/>
        <w:spacing w:line="364" w:lineRule="auto"/>
        <w:ind w:left="220" w:right="686" w:firstLine="559"/>
        <w:jc w:val="both"/>
      </w:pPr>
      <w:r>
        <w:t>在府院联动方面，《预重整指引》明确对在当地有重大影响的债务人预重整，法院接到预重整申请后应向当地党委汇报，与政府协调，可以由属地政府主导法院协助配合，法院与政府信息共享、问题共商、措施共举、共同推进。</w:t>
      </w:r>
    </w:p>
    <w:p>
      <w:pPr>
        <w:pStyle w:val="4"/>
      </w:pPr>
    </w:p>
    <w:p>
      <w:pPr>
        <w:pStyle w:val="4"/>
        <w:spacing w:before="12"/>
        <w:rPr>
          <w:sz w:val="23"/>
        </w:rPr>
      </w:pPr>
    </w:p>
    <w:p>
      <w:pPr>
        <w:pStyle w:val="4"/>
        <w:spacing w:line="364" w:lineRule="auto"/>
        <w:ind w:left="220" w:right="686" w:firstLine="559"/>
        <w:jc w:val="both"/>
      </w:pPr>
      <w:r>
        <w:t>在预重整识别方面，《预重整指引》明确破产合议庭应从债务人是否不能清偿到期债务、是否明显丧失清偿能力的可能、进行重整的意愿是否强烈、是否具备重整价值和挽救希望四个方面进行审查。</w:t>
      </w:r>
    </w:p>
    <w:p>
      <w:pPr>
        <w:pStyle w:val="4"/>
      </w:pPr>
    </w:p>
    <w:p>
      <w:pPr>
        <w:pStyle w:val="4"/>
        <w:spacing w:before="10"/>
        <w:rPr>
          <w:sz w:val="23"/>
        </w:rPr>
      </w:pPr>
    </w:p>
    <w:p>
      <w:pPr>
        <w:pStyle w:val="4"/>
        <w:spacing w:line="367" w:lineRule="auto"/>
        <w:ind w:left="220" w:right="686" w:firstLine="559"/>
      </w:pPr>
      <w:r>
        <w:t>在管理人选任方面，《预重整指引》明确进行预重整应当同时指定预重整临时管理人，管理人采取摇号、竞争、推荐等方式选定。</w:t>
      </w:r>
    </w:p>
    <w:p>
      <w:pPr>
        <w:pStyle w:val="4"/>
      </w:pPr>
    </w:p>
    <w:p>
      <w:pPr>
        <w:pStyle w:val="4"/>
        <w:spacing w:before="5"/>
        <w:rPr>
          <w:sz w:val="23"/>
        </w:rPr>
      </w:pPr>
    </w:p>
    <w:p>
      <w:pPr>
        <w:pStyle w:val="4"/>
        <w:spacing w:before="1" w:line="364" w:lineRule="auto"/>
        <w:ind w:left="220" w:right="686" w:firstLine="559"/>
        <w:jc w:val="both"/>
      </w:pPr>
      <w:r>
        <w:t>在预重整效力方面，《预重整指引》明确进入预重整后，暂缓受理以债务人为被告的诉讼，经申请执行人同意暂停对债务人的执行，根据申请对债务人财产进行保全，全面披露重整有关的信息等。</w:t>
      </w:r>
    </w:p>
    <w:p>
      <w:pPr>
        <w:spacing w:after="0" w:line="364" w:lineRule="auto"/>
        <w:jc w:val="both"/>
        <w:sectPr>
          <w:pgSz w:w="11910" w:h="16840"/>
          <w:pgMar w:top="1600" w:right="1060" w:bottom="980" w:left="1260" w:header="1148" w:footer="793" w:gutter="0"/>
          <w:pgNumType w:fmt="decimal"/>
          <w:cols w:space="720" w:num="1"/>
        </w:sectPr>
      </w:pPr>
    </w:p>
    <w:p>
      <w:pPr>
        <w:pStyle w:val="4"/>
        <w:rPr>
          <w:sz w:val="20"/>
        </w:rPr>
      </w:pPr>
    </w:p>
    <w:p>
      <w:pPr>
        <w:pStyle w:val="4"/>
        <w:spacing w:before="11"/>
        <w:rPr>
          <w:sz w:val="26"/>
        </w:rPr>
      </w:pPr>
    </w:p>
    <w:p>
      <w:pPr>
        <w:pStyle w:val="4"/>
        <w:spacing w:before="61" w:line="364" w:lineRule="auto"/>
        <w:ind w:left="220" w:right="686" w:firstLine="559"/>
        <w:jc w:val="both"/>
      </w:pPr>
      <w:r>
        <w:t>在预重整终结方面，《预重整指引》明确债务人明显缺乏重整价值和挽救可能，存在严重损害债权人利益情形，债务人不配合履行义务且不予纠正三种情形，经临时管理人申请，合议庭可以决定终结预重整， 并及时对是否受理重整作出裁定。</w:t>
      </w:r>
    </w:p>
    <w:p>
      <w:pPr>
        <w:pStyle w:val="4"/>
      </w:pPr>
    </w:p>
    <w:p>
      <w:pPr>
        <w:pStyle w:val="4"/>
        <w:spacing w:before="12"/>
        <w:rPr>
          <w:sz w:val="23"/>
        </w:rPr>
      </w:pPr>
    </w:p>
    <w:p>
      <w:pPr>
        <w:pStyle w:val="4"/>
        <w:spacing w:line="364" w:lineRule="auto"/>
        <w:ind w:left="220" w:right="686" w:firstLine="559"/>
      </w:pPr>
      <w:r>
        <w:rPr>
          <w:spacing w:val="-3"/>
        </w:rPr>
        <w:t>株洲中院研究室主任邓画文介绍，我国现行破产法律制度中尚无预重整的成文规定，预重整制度是从司法实践中“孕育”出来的一种全新制度，是从“危机”中寻求“转机”，找准“时机”让市场主体焕发 “生机”的创新性举措。株洲中院积极打造“政府支持、法院指导、企业自主、管理人参与”的新型预重整模式，通过建立与优质营商环境相匹配的破产规则体系和制度运行模式，帮助企业摆脱困境提升运营价 值，持续激发市场主体活跃度和创造力，推动法治化营商环境的持续优化。</w:t>
      </w:r>
    </w:p>
    <w:p>
      <w:pPr>
        <w:pStyle w:val="4"/>
      </w:pPr>
    </w:p>
    <w:p>
      <w:pPr>
        <w:pStyle w:val="4"/>
        <w:spacing w:before="7"/>
        <w:rPr>
          <w:sz w:val="23"/>
        </w:rPr>
      </w:pPr>
    </w:p>
    <w:p>
      <w:pPr>
        <w:pStyle w:val="4"/>
        <w:ind w:left="2795" w:right="2845"/>
        <w:jc w:val="center"/>
        <w:rPr>
          <w:rFonts w:hint="eastAsia" w:ascii="黑体" w:eastAsia="黑体"/>
        </w:rPr>
      </w:pPr>
      <w:r>
        <w:rPr>
          <w:rFonts w:hint="eastAsia" w:ascii="黑体" w:eastAsia="黑体"/>
        </w:rPr>
        <w:t>株洲市中级人民法院</w:t>
      </w:r>
    </w:p>
    <w:p>
      <w:pPr>
        <w:pStyle w:val="4"/>
        <w:spacing w:before="249"/>
        <w:ind w:left="421" w:right="471"/>
        <w:jc w:val="center"/>
        <w:rPr>
          <w:rFonts w:hint="eastAsia" w:ascii="黑体" w:eastAsia="黑体"/>
        </w:rPr>
      </w:pPr>
      <w:r>
        <w:rPr>
          <w:rFonts w:hint="eastAsia" w:ascii="黑体" w:eastAsia="黑体"/>
        </w:rPr>
        <w:t>破产案件预重整工作指引（试行）</w:t>
      </w:r>
    </w:p>
    <w:p>
      <w:pPr>
        <w:spacing w:before="245"/>
        <w:ind w:left="421" w:right="473" w:firstLine="0"/>
        <w:jc w:val="center"/>
        <w:rPr>
          <w:rFonts w:hint="eastAsia" w:ascii="宋体" w:eastAsia="宋体"/>
          <w:sz w:val="18"/>
        </w:rPr>
      </w:pPr>
      <w:r>
        <w:rPr>
          <w:rFonts w:hint="eastAsia" w:ascii="宋体" w:eastAsia="宋体"/>
          <w:sz w:val="18"/>
        </w:rPr>
        <w:t>（2022年6月2日株洲市中级人民法院审判委员会第354次会议通过，自2022年6月6日起施行）</w:t>
      </w:r>
    </w:p>
    <w:p>
      <w:pPr>
        <w:pStyle w:val="4"/>
        <w:rPr>
          <w:rFonts w:ascii="宋体"/>
          <w:sz w:val="18"/>
        </w:rPr>
      </w:pPr>
    </w:p>
    <w:p>
      <w:pPr>
        <w:pStyle w:val="4"/>
        <w:rPr>
          <w:rFonts w:ascii="宋体"/>
          <w:sz w:val="18"/>
        </w:rPr>
      </w:pPr>
    </w:p>
    <w:p>
      <w:pPr>
        <w:pStyle w:val="4"/>
        <w:spacing w:before="6"/>
        <w:rPr>
          <w:rFonts w:ascii="宋体"/>
          <w:sz w:val="25"/>
        </w:rPr>
      </w:pPr>
    </w:p>
    <w:p>
      <w:pPr>
        <w:pStyle w:val="4"/>
        <w:spacing w:line="364" w:lineRule="auto"/>
        <w:ind w:left="220" w:right="686"/>
        <w:jc w:val="both"/>
      </w:pPr>
      <w:r>
        <w:t>为提升株洲市营商环境，充分发挥司法推动经济转型升级，服务“三高四新”战略定位和使命任务的职能作用，探索构建庭外债务重   组与庭内司法重整的制度衔接，推进和规范预重整案件的审理，根据《中华人民共和国企业破产法》及其相关司法解释、《全国法院民商事审判工作会议纪要》《全国法院破产审判工作会议纪要》等规定，结合株洲市两级法院破产审判实际，制定本工作指引。</w:t>
      </w:r>
    </w:p>
    <w:p>
      <w:pPr>
        <w:spacing w:after="0" w:line="364" w:lineRule="auto"/>
        <w:jc w:val="both"/>
        <w:sectPr>
          <w:pgSz w:w="11910" w:h="16840"/>
          <w:pgMar w:top="1600" w:right="1060" w:bottom="980" w:left="1260" w:header="1148" w:footer="793" w:gutter="0"/>
          <w:pgNumType w:fmt="decimal"/>
          <w:cols w:space="720" w:num="1"/>
        </w:sectPr>
      </w:pPr>
    </w:p>
    <w:p>
      <w:pPr>
        <w:pStyle w:val="4"/>
        <w:rPr>
          <w:sz w:val="20"/>
        </w:rPr>
      </w:pPr>
    </w:p>
    <w:p>
      <w:pPr>
        <w:pStyle w:val="4"/>
        <w:spacing w:before="11"/>
        <w:rPr>
          <w:sz w:val="26"/>
        </w:rPr>
      </w:pPr>
    </w:p>
    <w:p>
      <w:pPr>
        <w:pStyle w:val="4"/>
        <w:spacing w:before="61"/>
        <w:ind w:left="3590"/>
      </w:pPr>
      <w:r>
        <w:t>第1条【定 义】</w:t>
      </w:r>
    </w:p>
    <w:p>
      <w:pPr>
        <w:pStyle w:val="4"/>
      </w:pPr>
    </w:p>
    <w:p>
      <w:pPr>
        <w:pStyle w:val="4"/>
        <w:spacing w:before="8"/>
        <w:rPr>
          <w:sz w:val="38"/>
        </w:rPr>
      </w:pPr>
    </w:p>
    <w:p>
      <w:pPr>
        <w:pStyle w:val="4"/>
        <w:spacing w:line="364" w:lineRule="auto"/>
        <w:ind w:left="220" w:right="686" w:firstLine="559"/>
      </w:pPr>
      <w:r>
        <w:rPr>
          <w:spacing w:val="-3"/>
        </w:rPr>
        <w:t>预重整是在受理重整申请前，债务人与债权人、出资人等利害关系人就债务人重整事项进行谈判并形成预重整方案，再由债务人或债权 人、出资人向人民法院提出重整申请的破产重整模式。</w:t>
      </w:r>
    </w:p>
    <w:p>
      <w:pPr>
        <w:pStyle w:val="4"/>
        <w:spacing w:before="58" w:line="364" w:lineRule="auto"/>
        <w:ind w:left="220" w:right="825" w:firstLine="559"/>
      </w:pPr>
      <w:r>
        <w:t>破产重整申请受理前，庭外协商谈判形成预重整方案审理期间为“预重整期间 ”。破产重整申请受理后，可以以庭外达成的预重整方案为依据制定重整计划草案。</w:t>
      </w:r>
    </w:p>
    <w:p>
      <w:pPr>
        <w:pStyle w:val="4"/>
      </w:pPr>
    </w:p>
    <w:p>
      <w:pPr>
        <w:pStyle w:val="4"/>
        <w:rPr>
          <w:sz w:val="24"/>
        </w:rPr>
      </w:pPr>
    </w:p>
    <w:p>
      <w:pPr>
        <w:pStyle w:val="4"/>
        <w:ind w:left="3578"/>
      </w:pPr>
      <w:r>
        <w:t>第2条【适用主体】</w:t>
      </w:r>
    </w:p>
    <w:p>
      <w:pPr>
        <w:pStyle w:val="4"/>
      </w:pPr>
    </w:p>
    <w:p>
      <w:pPr>
        <w:pStyle w:val="4"/>
        <w:spacing w:before="7"/>
        <w:rPr>
          <w:sz w:val="38"/>
        </w:rPr>
      </w:pPr>
    </w:p>
    <w:p>
      <w:pPr>
        <w:pStyle w:val="4"/>
        <w:spacing w:line="362" w:lineRule="auto"/>
        <w:ind w:left="220" w:right="686" w:firstLine="559"/>
      </w:pPr>
      <w:r>
        <w:t>符合下列情形之一的债务人破产重整案件，可以适用预重整模式进行审理：</w:t>
      </w:r>
    </w:p>
    <w:p>
      <w:pPr>
        <w:pStyle w:val="4"/>
        <w:spacing w:before="67" w:line="364" w:lineRule="auto"/>
        <w:ind w:left="220" w:right="967" w:firstLine="559"/>
      </w:pPr>
      <w:r>
        <w:t>（一）债权人人数众多，债权债务关系复杂，或职工安置数量较大，影响社会稳定的大型企业；</w:t>
      </w:r>
    </w:p>
    <w:p>
      <w:pPr>
        <w:pStyle w:val="4"/>
        <w:spacing w:before="61" w:line="362" w:lineRule="auto"/>
        <w:ind w:left="220" w:right="686" w:firstLine="559"/>
      </w:pPr>
      <w:r>
        <w:t>（二）产业规模庞大，占据行业龙头或重要地位，对地区经济发展和金融环境稳定有重大影响的大型企业；</w:t>
      </w:r>
    </w:p>
    <w:p>
      <w:pPr>
        <w:pStyle w:val="4"/>
        <w:spacing w:before="66"/>
        <w:ind w:left="780"/>
      </w:pPr>
      <w:r>
        <w:t>（三）涉及众多购房者权益的房地产开发企业；</w:t>
      </w:r>
    </w:p>
    <w:p>
      <w:pPr>
        <w:pStyle w:val="4"/>
        <w:spacing w:before="246" w:line="364" w:lineRule="auto"/>
        <w:ind w:left="220" w:right="686" w:firstLine="559"/>
      </w:pPr>
      <w:r>
        <w:t>（四）具有金融和准金融机构性质的保险公司、证券公司、融资担保公司、小额贷款公司；</w:t>
      </w:r>
    </w:p>
    <w:p>
      <w:pPr>
        <w:pStyle w:val="4"/>
        <w:spacing w:before="59"/>
        <w:ind w:left="780"/>
      </w:pPr>
      <w:r>
        <w:t>（五）符合国家产业政策、行业前景良好的重点优质企业；</w:t>
      </w:r>
    </w:p>
    <w:p>
      <w:pPr>
        <w:pStyle w:val="4"/>
        <w:spacing w:before="249" w:line="364" w:lineRule="auto"/>
        <w:ind w:left="220" w:right="686" w:firstLine="559"/>
      </w:pPr>
      <w:r>
        <w:t>（六）其他直接受理重整申请可能对债务人生产经营产生负面影响或者产生重大社会不稳定因素的企业。</w:t>
      </w:r>
    </w:p>
    <w:p>
      <w:pPr>
        <w:spacing w:after="0" w:line="364" w:lineRule="auto"/>
        <w:sectPr>
          <w:pgSz w:w="11910" w:h="16840"/>
          <w:pgMar w:top="1600" w:right="1060" w:bottom="980" w:left="1260" w:header="1148" w:footer="793" w:gutter="0"/>
          <w:pgNumType w:fmt="decimal"/>
          <w:cols w:space="720" w:num="1"/>
        </w:sectPr>
      </w:pPr>
    </w:p>
    <w:p>
      <w:pPr>
        <w:pStyle w:val="4"/>
        <w:rPr>
          <w:sz w:val="20"/>
        </w:rPr>
      </w:pPr>
    </w:p>
    <w:p>
      <w:pPr>
        <w:pStyle w:val="4"/>
        <w:spacing w:before="11"/>
        <w:rPr>
          <w:sz w:val="26"/>
        </w:rPr>
      </w:pPr>
    </w:p>
    <w:p>
      <w:pPr>
        <w:pStyle w:val="4"/>
        <w:spacing w:before="61" w:line="364" w:lineRule="auto"/>
        <w:ind w:left="220" w:right="686" w:firstLine="559"/>
      </w:pPr>
      <w:r>
        <w:t>受理破产清算申请后、宣告债务人破产前申请重整的，不适用预重整。</w:t>
      </w:r>
    </w:p>
    <w:p>
      <w:pPr>
        <w:pStyle w:val="4"/>
      </w:pPr>
    </w:p>
    <w:p>
      <w:pPr>
        <w:pStyle w:val="4"/>
        <w:rPr>
          <w:sz w:val="24"/>
        </w:rPr>
      </w:pPr>
    </w:p>
    <w:p>
      <w:pPr>
        <w:pStyle w:val="4"/>
        <w:ind w:left="2553" w:right="2999"/>
        <w:jc w:val="center"/>
      </w:pPr>
      <w:r>
        <w:t>第3条 【预重整启动】</w:t>
      </w:r>
    </w:p>
    <w:p>
      <w:pPr>
        <w:pStyle w:val="4"/>
      </w:pPr>
    </w:p>
    <w:p>
      <w:pPr>
        <w:pStyle w:val="4"/>
        <w:spacing w:before="8"/>
        <w:rPr>
          <w:sz w:val="38"/>
        </w:rPr>
      </w:pPr>
    </w:p>
    <w:p>
      <w:pPr>
        <w:pStyle w:val="4"/>
        <w:spacing w:line="364" w:lineRule="auto"/>
        <w:ind w:left="220" w:right="686" w:firstLine="559"/>
        <w:jc w:val="both"/>
      </w:pPr>
      <w:r>
        <w:t>申请人提出预重整申请，符合本指引第二条、第五条的条件，且债务人提交了股东（大）会决议，同意履行本指引所规定的预重整义务的书面承诺，经合议庭合议，可以决定对债务人进行预重整。</w:t>
      </w:r>
    </w:p>
    <w:p>
      <w:pPr>
        <w:pStyle w:val="4"/>
      </w:pPr>
    </w:p>
    <w:p>
      <w:pPr>
        <w:pStyle w:val="4"/>
        <w:spacing w:before="9"/>
        <w:rPr>
          <w:sz w:val="23"/>
        </w:rPr>
      </w:pPr>
    </w:p>
    <w:p>
      <w:pPr>
        <w:pStyle w:val="4"/>
        <w:spacing w:before="1"/>
        <w:ind w:left="2551" w:right="2999"/>
        <w:jc w:val="center"/>
      </w:pPr>
      <w:r>
        <w:t>第4条【府院联动】</w:t>
      </w:r>
    </w:p>
    <w:p>
      <w:pPr>
        <w:pStyle w:val="4"/>
      </w:pPr>
    </w:p>
    <w:p>
      <w:pPr>
        <w:pStyle w:val="4"/>
        <w:spacing w:before="7"/>
        <w:rPr>
          <w:sz w:val="38"/>
        </w:rPr>
      </w:pPr>
    </w:p>
    <w:p>
      <w:pPr>
        <w:pStyle w:val="4"/>
        <w:spacing w:line="364" w:lineRule="auto"/>
        <w:ind w:left="220" w:right="686" w:firstLine="559"/>
        <w:jc w:val="both"/>
      </w:pPr>
      <w:r>
        <w:t>对在当地有重大影响的债务人预重整，法院接到预重整申请后应向当地党委汇报，与政府协调，可以由属地政府主导按照府院联动由法院协助配合，做到府院两家信息共享、问题共商、措施共举、共同推进。</w:t>
      </w:r>
    </w:p>
    <w:p>
      <w:pPr>
        <w:pStyle w:val="4"/>
      </w:pPr>
    </w:p>
    <w:p>
      <w:pPr>
        <w:pStyle w:val="4"/>
        <w:spacing w:before="12"/>
        <w:rPr>
          <w:sz w:val="23"/>
        </w:rPr>
      </w:pPr>
    </w:p>
    <w:p>
      <w:pPr>
        <w:pStyle w:val="4"/>
        <w:spacing w:before="1"/>
        <w:ind w:left="2553" w:right="2999"/>
        <w:jc w:val="center"/>
      </w:pPr>
      <w:r>
        <w:t>第5条【预重整识别】</w:t>
      </w:r>
    </w:p>
    <w:p>
      <w:pPr>
        <w:pStyle w:val="4"/>
      </w:pPr>
    </w:p>
    <w:p>
      <w:pPr>
        <w:pStyle w:val="4"/>
        <w:spacing w:before="7"/>
        <w:rPr>
          <w:sz w:val="38"/>
        </w:rPr>
      </w:pPr>
    </w:p>
    <w:p>
      <w:pPr>
        <w:pStyle w:val="4"/>
        <w:spacing w:line="364" w:lineRule="auto"/>
        <w:ind w:left="220" w:right="686" w:firstLine="559"/>
      </w:pPr>
      <w:r>
        <w:t>对于当事人提出的预重整申请，由破产审判业务部门组成合议庭从以下四个方面进行审查：</w:t>
      </w:r>
    </w:p>
    <w:p>
      <w:pPr>
        <w:pStyle w:val="4"/>
        <w:spacing w:before="59" w:line="364" w:lineRule="auto"/>
        <w:ind w:left="220" w:right="686" w:firstLine="559"/>
      </w:pPr>
      <w:r>
        <w:t>（一）债务人是否不能清偿到期债务，且资产是否不足以清偿全部债务或者是否明显缺乏清偿能力；</w:t>
      </w:r>
    </w:p>
    <w:p>
      <w:pPr>
        <w:pStyle w:val="4"/>
        <w:spacing w:before="59"/>
        <w:ind w:left="780"/>
      </w:pPr>
      <w:r>
        <w:t>（二）债务人是否有明显丧失清偿能力的可能；</w:t>
      </w:r>
    </w:p>
    <w:p>
      <w:pPr>
        <w:pStyle w:val="4"/>
        <w:spacing w:before="246"/>
        <w:ind w:left="780"/>
      </w:pPr>
      <w:r>
        <w:t>（三）当事人进行重整的意愿是否强烈；</w:t>
      </w:r>
    </w:p>
    <w:p>
      <w:pPr>
        <w:spacing w:after="0"/>
        <w:sectPr>
          <w:pgSz w:w="11910" w:h="16840"/>
          <w:pgMar w:top="1600" w:right="1060" w:bottom="980" w:left="1260" w:header="1148" w:footer="793" w:gutter="0"/>
          <w:pgNumType w:fmt="decimal"/>
          <w:cols w:space="720" w:num="1"/>
        </w:sectPr>
      </w:pPr>
    </w:p>
    <w:p>
      <w:pPr>
        <w:pStyle w:val="4"/>
        <w:spacing w:before="57"/>
        <w:ind w:left="780"/>
      </w:pPr>
      <w:r>
        <w:t>（四）债务人是否具备重整价值和挽救希望。</w:t>
      </w:r>
    </w:p>
    <w:p>
      <w:pPr>
        <w:pStyle w:val="4"/>
      </w:pPr>
    </w:p>
    <w:p>
      <w:pPr>
        <w:pStyle w:val="4"/>
        <w:spacing w:before="7"/>
        <w:rPr>
          <w:sz w:val="38"/>
        </w:rPr>
      </w:pPr>
    </w:p>
    <w:p>
      <w:pPr>
        <w:pStyle w:val="4"/>
        <w:ind w:left="2553" w:right="2999"/>
        <w:jc w:val="center"/>
      </w:pPr>
      <w:r>
        <w:t>第6条【预重整听证】</w:t>
      </w:r>
    </w:p>
    <w:p>
      <w:pPr>
        <w:pStyle w:val="4"/>
      </w:pPr>
    </w:p>
    <w:p>
      <w:pPr>
        <w:pStyle w:val="4"/>
        <w:spacing w:before="5"/>
        <w:rPr>
          <w:sz w:val="38"/>
        </w:rPr>
      </w:pPr>
    </w:p>
    <w:p>
      <w:pPr>
        <w:pStyle w:val="4"/>
        <w:spacing w:before="1" w:line="364" w:lineRule="auto"/>
        <w:ind w:left="220" w:right="686" w:firstLine="559"/>
        <w:jc w:val="both"/>
      </w:pPr>
      <w:r>
        <w:t>对于债权人、出资人提出的预重整申请，债务人如有异议的，应当举行听证会，其他债权人、出资人、重整投资人经人民法院准许，可以参加听证。必要时也可邀请属地政府、主管部门、行业协会及专业中介机构参加。组织听证调查的时间不计入重整申请的审查期间。</w:t>
      </w:r>
    </w:p>
    <w:p>
      <w:pPr>
        <w:pStyle w:val="4"/>
      </w:pPr>
    </w:p>
    <w:p>
      <w:pPr>
        <w:pStyle w:val="4"/>
        <w:spacing w:before="11"/>
        <w:rPr>
          <w:sz w:val="23"/>
        </w:rPr>
      </w:pPr>
    </w:p>
    <w:p>
      <w:pPr>
        <w:pStyle w:val="4"/>
        <w:ind w:left="140" w:right="588"/>
        <w:jc w:val="center"/>
      </w:pPr>
      <w:r>
        <w:t>第7条【预重整受理和不予受理】</w:t>
      </w:r>
    </w:p>
    <w:p>
      <w:pPr>
        <w:pStyle w:val="4"/>
      </w:pPr>
    </w:p>
    <w:p>
      <w:pPr>
        <w:pStyle w:val="4"/>
        <w:spacing w:before="8"/>
        <w:rPr>
          <w:sz w:val="38"/>
        </w:rPr>
      </w:pPr>
    </w:p>
    <w:p>
      <w:pPr>
        <w:pStyle w:val="4"/>
        <w:spacing w:line="364" w:lineRule="auto"/>
        <w:ind w:left="220" w:right="686" w:firstLine="559"/>
        <w:jc w:val="both"/>
      </w:pPr>
      <w:r>
        <w:t>重整申请应在编立“破申”案号后十五日内审查完毕。经审查符合受理条件的，向债务人、申请重整的债权人、出资人发出预重整决定通知书，并予以公告。不符合受理条件的，裁定不予受理。</w:t>
      </w:r>
    </w:p>
    <w:p>
      <w:pPr>
        <w:pStyle w:val="4"/>
      </w:pPr>
    </w:p>
    <w:p>
      <w:pPr>
        <w:pStyle w:val="4"/>
        <w:spacing w:before="10"/>
        <w:rPr>
          <w:sz w:val="23"/>
        </w:rPr>
      </w:pPr>
    </w:p>
    <w:p>
      <w:pPr>
        <w:pStyle w:val="4"/>
        <w:ind w:left="2553" w:right="2999"/>
        <w:jc w:val="center"/>
      </w:pPr>
      <w:r>
        <w:t>第8条【预重整费用的预交】</w:t>
      </w:r>
    </w:p>
    <w:p>
      <w:pPr>
        <w:pStyle w:val="4"/>
      </w:pPr>
    </w:p>
    <w:p>
      <w:pPr>
        <w:pStyle w:val="4"/>
        <w:spacing w:before="7"/>
        <w:rPr>
          <w:sz w:val="38"/>
        </w:rPr>
      </w:pPr>
    </w:p>
    <w:p>
      <w:pPr>
        <w:pStyle w:val="4"/>
        <w:spacing w:line="364" w:lineRule="auto"/>
        <w:ind w:left="220" w:right="686" w:firstLine="559"/>
      </w:pPr>
      <w:r>
        <w:t>决定预重整的，申请人应预交10-30万元的预重整启动费用，未在指定期限内预交预重整费用的，按自动撤回预重整申请处理。申请人是债务人且临时管理人也由债务人推荐的除外。</w:t>
      </w:r>
    </w:p>
    <w:p>
      <w:pPr>
        <w:pStyle w:val="4"/>
        <w:spacing w:before="59" w:line="364" w:lineRule="auto"/>
        <w:ind w:left="220" w:right="686" w:firstLine="559"/>
        <w:jc w:val="both"/>
      </w:pPr>
      <w:r>
        <w:t>前款费用作为预重整中临时管理人开展相关工作的费用和预重整的报酬。预重整成功转入重整程序的，该费用作为破产费用优先偿还。预重整失败被裁定不予受理的预重整申请，该费用由申请人承担。</w:t>
      </w:r>
    </w:p>
    <w:p>
      <w:pPr>
        <w:spacing w:after="0" w:line="364" w:lineRule="auto"/>
        <w:jc w:val="both"/>
        <w:sectPr>
          <w:pgSz w:w="11910" w:h="16840"/>
          <w:pgMar w:top="1600" w:right="1060" w:bottom="980" w:left="1260" w:header="1148" w:footer="793" w:gutter="0"/>
          <w:pgNumType w:fmt="decimal"/>
          <w:cols w:space="720" w:num="1"/>
        </w:sectPr>
      </w:pPr>
    </w:p>
    <w:p>
      <w:pPr>
        <w:pStyle w:val="4"/>
        <w:spacing w:before="57"/>
        <w:ind w:left="2553" w:right="2999"/>
        <w:jc w:val="center"/>
      </w:pPr>
      <w:r>
        <w:t>第9条【预重整期间】</w:t>
      </w:r>
    </w:p>
    <w:p>
      <w:pPr>
        <w:pStyle w:val="4"/>
      </w:pPr>
    </w:p>
    <w:p>
      <w:pPr>
        <w:pStyle w:val="4"/>
        <w:spacing w:before="7"/>
        <w:rPr>
          <w:sz w:val="38"/>
        </w:rPr>
      </w:pPr>
    </w:p>
    <w:p>
      <w:pPr>
        <w:pStyle w:val="4"/>
        <w:spacing w:line="364" w:lineRule="auto"/>
        <w:ind w:left="220" w:right="686" w:firstLine="559"/>
        <w:jc w:val="both"/>
      </w:pPr>
      <w:r>
        <w:t>预重整期间为三个月，自合议庭作出预重整决定之日起计算。有正当理由的，经临时管理人书面申请，由本院决定，可以适当延长一到三个月，但预重整期间最长不得超过六个月。</w:t>
      </w:r>
    </w:p>
    <w:p>
      <w:pPr>
        <w:pStyle w:val="4"/>
      </w:pPr>
    </w:p>
    <w:p>
      <w:pPr>
        <w:pStyle w:val="4"/>
        <w:spacing w:before="10"/>
        <w:rPr>
          <w:sz w:val="23"/>
        </w:rPr>
      </w:pPr>
    </w:p>
    <w:p>
      <w:pPr>
        <w:pStyle w:val="4"/>
        <w:ind w:left="2551" w:right="2999"/>
        <w:jc w:val="center"/>
      </w:pPr>
      <w:r>
        <w:t>第10条【临时管理人选任】</w:t>
      </w:r>
    </w:p>
    <w:p>
      <w:pPr>
        <w:pStyle w:val="4"/>
      </w:pPr>
    </w:p>
    <w:p>
      <w:pPr>
        <w:pStyle w:val="4"/>
        <w:spacing w:before="8"/>
        <w:rPr>
          <w:sz w:val="38"/>
        </w:rPr>
      </w:pPr>
    </w:p>
    <w:p>
      <w:pPr>
        <w:pStyle w:val="4"/>
        <w:ind w:left="780"/>
      </w:pPr>
      <w:r>
        <w:t>合议庭决定进行预重整的，应当同时指定预重整临时管理人。</w:t>
      </w:r>
    </w:p>
    <w:p>
      <w:pPr>
        <w:pStyle w:val="4"/>
        <w:spacing w:before="248" w:line="364" w:lineRule="auto"/>
        <w:ind w:left="220" w:right="686" w:firstLine="559"/>
      </w:pPr>
      <w:r>
        <w:rPr>
          <w:spacing w:val="-3"/>
        </w:rPr>
        <w:t>管理人一般采取摇号、竞争、推荐等方式选定。采取摇号方式的由编入本院管理人名册机构自愿报名，并随机摇号产生；采取竞争方式的由本院组成评审小组择优指定。也可以采取推荐方式在债务人、出资 人、主要债权人或者有关部门等推荐的已编入管理人名册的机构中指 定。除债务人和主要债权人联名推荐的外，采取推荐方式的，一般应召开听证会，听取债务人、出资人、主要债权人的意见后再指定。</w:t>
      </w:r>
    </w:p>
    <w:p>
      <w:pPr>
        <w:pStyle w:val="4"/>
      </w:pPr>
    </w:p>
    <w:p>
      <w:pPr>
        <w:pStyle w:val="4"/>
        <w:spacing w:before="8"/>
        <w:rPr>
          <w:sz w:val="23"/>
        </w:rPr>
      </w:pPr>
    </w:p>
    <w:p>
      <w:pPr>
        <w:pStyle w:val="4"/>
        <w:spacing w:before="1"/>
        <w:ind w:left="2551" w:right="2999"/>
        <w:jc w:val="center"/>
      </w:pPr>
      <w:r>
        <w:t>第11条【管理人的转任】</w:t>
      </w:r>
    </w:p>
    <w:p>
      <w:pPr>
        <w:pStyle w:val="4"/>
      </w:pPr>
    </w:p>
    <w:p>
      <w:pPr>
        <w:pStyle w:val="4"/>
        <w:spacing w:before="7"/>
        <w:rPr>
          <w:sz w:val="38"/>
        </w:rPr>
      </w:pPr>
    </w:p>
    <w:p>
      <w:pPr>
        <w:pStyle w:val="4"/>
        <w:spacing w:line="364" w:lineRule="auto"/>
        <w:ind w:left="220" w:right="686" w:firstLine="559"/>
        <w:jc w:val="both"/>
      </w:pPr>
      <w:r>
        <w:t>重整申请正式裁定受理后，可以指定预重整临时管理人为债务人破产重整管理人，但合议庭根据预重整临时管理人履职表现决定重新选定破产重整管理人的除外。</w:t>
      </w:r>
    </w:p>
    <w:p>
      <w:pPr>
        <w:pStyle w:val="4"/>
      </w:pPr>
    </w:p>
    <w:p>
      <w:pPr>
        <w:pStyle w:val="4"/>
        <w:spacing w:before="10"/>
        <w:rPr>
          <w:sz w:val="23"/>
        </w:rPr>
      </w:pPr>
    </w:p>
    <w:p>
      <w:pPr>
        <w:pStyle w:val="4"/>
        <w:ind w:left="2551" w:right="2999"/>
        <w:jc w:val="center"/>
      </w:pPr>
      <w:r>
        <w:t>第12条【临时管理人职责】</w:t>
      </w:r>
    </w:p>
    <w:p>
      <w:pPr>
        <w:spacing w:after="0"/>
        <w:jc w:val="center"/>
        <w:sectPr>
          <w:pgSz w:w="11910" w:h="16840"/>
          <w:pgMar w:top="1600" w:right="1060" w:bottom="980" w:left="1260" w:header="1148" w:footer="793" w:gutter="0"/>
          <w:pgNumType w:fmt="decimal"/>
          <w:cols w:space="720" w:num="1"/>
        </w:sectPr>
      </w:pPr>
    </w:p>
    <w:p>
      <w:pPr>
        <w:pStyle w:val="4"/>
        <w:spacing w:before="57"/>
        <w:ind w:left="780"/>
      </w:pPr>
      <w:r>
        <w:t>在预重整期间，临时管理人履行下列职责：</w:t>
      </w:r>
    </w:p>
    <w:p>
      <w:pPr>
        <w:pStyle w:val="4"/>
        <w:spacing w:before="246"/>
        <w:ind w:left="780"/>
      </w:pPr>
      <w:r>
        <w:t>（一）调查债务人财产状况，制作财产状况报告；</w:t>
      </w:r>
    </w:p>
    <w:p>
      <w:pPr>
        <w:pStyle w:val="4"/>
        <w:spacing w:before="248"/>
        <w:ind w:left="780"/>
      </w:pPr>
      <w:r>
        <w:t>（二）核查债务人债权债务情况；</w:t>
      </w:r>
    </w:p>
    <w:p>
      <w:pPr>
        <w:pStyle w:val="4"/>
        <w:spacing w:before="246" w:line="364" w:lineRule="auto"/>
        <w:ind w:left="220" w:right="686" w:firstLine="559"/>
      </w:pPr>
      <w:r>
        <w:t>（三）根据债务人资产状况选聘审计、评估机构分别进行审计、评估；</w:t>
      </w:r>
    </w:p>
    <w:p>
      <w:pPr>
        <w:pStyle w:val="4"/>
        <w:spacing w:before="59"/>
        <w:ind w:left="780"/>
      </w:pPr>
      <w:r>
        <w:t>（四）监督债务人自行管理财产和营业事务；</w:t>
      </w:r>
    </w:p>
    <w:p>
      <w:pPr>
        <w:pStyle w:val="4"/>
        <w:spacing w:before="249"/>
        <w:ind w:left="780"/>
      </w:pPr>
      <w:r>
        <w:t>（五）监督债务人充分披露企业信息；</w:t>
      </w:r>
    </w:p>
    <w:p>
      <w:pPr>
        <w:pStyle w:val="4"/>
        <w:spacing w:before="246" w:line="364" w:lineRule="auto"/>
        <w:ind w:left="220" w:right="686" w:firstLine="559"/>
      </w:pPr>
      <w:r>
        <w:t>（六）推动债务人与其出资人、主要债权人、意向投资人等利害关系人进行协商，协助拟定预重整方案；</w:t>
      </w:r>
    </w:p>
    <w:p>
      <w:pPr>
        <w:pStyle w:val="4"/>
        <w:spacing w:before="61" w:line="364" w:lineRule="auto"/>
        <w:ind w:left="220" w:right="686" w:firstLine="559"/>
        <w:jc w:val="both"/>
      </w:pPr>
      <w:r>
        <w:t>（七）通过召开债务人及其出资人、债权人、意向投资人、有关主管部门等利害关系人参加的会议，或者书面方式征求对预重整方案的意见；</w:t>
      </w:r>
    </w:p>
    <w:p>
      <w:pPr>
        <w:pStyle w:val="4"/>
        <w:spacing w:before="59" w:line="362" w:lineRule="auto"/>
        <w:ind w:left="220" w:right="686" w:firstLine="559"/>
      </w:pPr>
      <w:r>
        <w:t>（八）定期向法院报告预重整工作进展，遇有对各方主体利益影响重大的事项，应当及时向法院报告；</w:t>
      </w:r>
    </w:p>
    <w:p>
      <w:pPr>
        <w:pStyle w:val="4"/>
        <w:spacing w:before="66"/>
        <w:ind w:left="780"/>
      </w:pPr>
      <w:r>
        <w:t>（九）本院认为管理人应当履行的其他职责。</w:t>
      </w:r>
    </w:p>
    <w:p>
      <w:pPr>
        <w:pStyle w:val="4"/>
      </w:pPr>
    </w:p>
    <w:p>
      <w:pPr>
        <w:pStyle w:val="4"/>
        <w:spacing w:before="7"/>
        <w:rPr>
          <w:sz w:val="38"/>
        </w:rPr>
      </w:pPr>
    </w:p>
    <w:p>
      <w:pPr>
        <w:pStyle w:val="4"/>
        <w:spacing w:before="1"/>
        <w:ind w:left="2553" w:right="2999"/>
        <w:jc w:val="center"/>
      </w:pPr>
      <w:r>
        <w:t>第13条【债务人义务】</w:t>
      </w:r>
    </w:p>
    <w:p>
      <w:pPr>
        <w:pStyle w:val="4"/>
      </w:pPr>
    </w:p>
    <w:p>
      <w:pPr>
        <w:pStyle w:val="4"/>
        <w:spacing w:before="7"/>
        <w:rPr>
          <w:sz w:val="38"/>
        </w:rPr>
      </w:pPr>
    </w:p>
    <w:p>
      <w:pPr>
        <w:pStyle w:val="4"/>
        <w:ind w:left="780"/>
      </w:pPr>
      <w:r>
        <w:t>在预重整期间，债务人承担下列义务：</w:t>
      </w:r>
    </w:p>
    <w:p>
      <w:pPr>
        <w:pStyle w:val="4"/>
        <w:spacing w:before="246"/>
        <w:ind w:left="780"/>
      </w:pPr>
      <w:r>
        <w:t>（一）妥善保管其占有和管理的财产、印章和账簿、文书等资料；</w:t>
      </w:r>
    </w:p>
    <w:p>
      <w:pPr>
        <w:pStyle w:val="4"/>
        <w:spacing w:before="246" w:line="364" w:lineRule="auto"/>
        <w:ind w:left="220" w:right="967" w:firstLine="559"/>
      </w:pPr>
      <w:r>
        <w:t>（二）配合管理人调查，配合审计评估，如实回答询问并提交材料；</w:t>
      </w:r>
    </w:p>
    <w:p>
      <w:pPr>
        <w:pStyle w:val="4"/>
        <w:spacing w:before="62"/>
        <w:ind w:left="780"/>
      </w:pPr>
      <w:r>
        <w:t>（三）勤勉经营管理，妥善维护资产价值；</w:t>
      </w:r>
    </w:p>
    <w:p>
      <w:pPr>
        <w:pStyle w:val="4"/>
        <w:spacing w:before="246"/>
        <w:ind w:left="780"/>
      </w:pPr>
      <w:r>
        <w:t>（四）及时向管理人报告经营中的重大事项；</w:t>
      </w:r>
    </w:p>
    <w:p>
      <w:pPr>
        <w:spacing w:after="0"/>
        <w:sectPr>
          <w:pgSz w:w="11910" w:h="16840"/>
          <w:pgMar w:top="1600" w:right="1060" w:bottom="980" w:left="1260" w:header="1148" w:footer="793" w:gutter="0"/>
          <w:pgNumType w:fmt="decimal"/>
          <w:cols w:space="720" w:num="1"/>
        </w:sectPr>
      </w:pPr>
    </w:p>
    <w:p>
      <w:pPr>
        <w:pStyle w:val="4"/>
        <w:spacing w:before="57" w:line="364" w:lineRule="auto"/>
        <w:ind w:left="220" w:right="686" w:firstLine="559"/>
      </w:pPr>
      <w:r>
        <w:t>（五）不得对外清偿债务，但为企业继续营业、维持其营运价值所必要的支出除外；</w:t>
      </w:r>
    </w:p>
    <w:p>
      <w:pPr>
        <w:pStyle w:val="4"/>
        <w:spacing w:before="59"/>
        <w:ind w:left="780"/>
      </w:pPr>
      <w:r>
        <w:t>（六）未经允许，不得对外提供担保；</w:t>
      </w:r>
    </w:p>
    <w:p>
      <w:pPr>
        <w:pStyle w:val="4"/>
        <w:spacing w:before="248" w:line="362" w:lineRule="auto"/>
        <w:ind w:left="220" w:right="967" w:firstLine="559"/>
      </w:pPr>
      <w:r>
        <w:t>（七）积极与出资人、主要债权人、意向投资人等利害关系人协商，制作预重整方案；</w:t>
      </w:r>
    </w:p>
    <w:p>
      <w:pPr>
        <w:pStyle w:val="4"/>
        <w:spacing w:before="66"/>
        <w:ind w:left="780"/>
      </w:pPr>
      <w:r>
        <w:t>（八）完成与预重整相关的其他工作。</w:t>
      </w:r>
    </w:p>
    <w:p>
      <w:pPr>
        <w:pStyle w:val="4"/>
      </w:pPr>
    </w:p>
    <w:p>
      <w:pPr>
        <w:pStyle w:val="4"/>
        <w:spacing w:before="8"/>
        <w:rPr>
          <w:sz w:val="38"/>
        </w:rPr>
      </w:pPr>
    </w:p>
    <w:p>
      <w:pPr>
        <w:pStyle w:val="4"/>
        <w:ind w:left="2551" w:right="2999"/>
        <w:jc w:val="center"/>
      </w:pPr>
      <w:r>
        <w:t>第14条【暂停执行与保全】</w:t>
      </w:r>
    </w:p>
    <w:p>
      <w:pPr>
        <w:pStyle w:val="4"/>
      </w:pPr>
    </w:p>
    <w:p>
      <w:pPr>
        <w:pStyle w:val="4"/>
        <w:spacing w:before="7"/>
        <w:rPr>
          <w:sz w:val="38"/>
        </w:rPr>
      </w:pPr>
    </w:p>
    <w:p>
      <w:pPr>
        <w:pStyle w:val="4"/>
        <w:spacing w:before="1" w:line="362" w:lineRule="auto"/>
        <w:ind w:left="220" w:right="686" w:firstLine="559"/>
      </w:pPr>
      <w:r>
        <w:t>进入预重整后，本市两级法院暂缓受理以债务人为被告的诉讼，经申请执行人同意后，中止对债务人的执行。</w:t>
      </w:r>
    </w:p>
    <w:p>
      <w:pPr>
        <w:pStyle w:val="4"/>
        <w:spacing w:before="66" w:line="364" w:lineRule="auto"/>
        <w:ind w:left="220" w:right="686" w:firstLine="559"/>
        <w:jc w:val="both"/>
      </w:pPr>
      <w:r>
        <w:t>在预重整期间，对于可能妨害破产重整程序顺利进行，造成债务人财产减少、灭失或变动的，合议庭可以根据债务人或临时管理人的申请对债务人的财产采取保全措施。</w:t>
      </w:r>
    </w:p>
    <w:p>
      <w:pPr>
        <w:pStyle w:val="4"/>
      </w:pPr>
    </w:p>
    <w:p>
      <w:pPr>
        <w:pStyle w:val="4"/>
        <w:spacing w:before="9"/>
        <w:rPr>
          <w:sz w:val="23"/>
        </w:rPr>
      </w:pPr>
    </w:p>
    <w:p>
      <w:pPr>
        <w:pStyle w:val="4"/>
        <w:spacing w:before="1"/>
        <w:ind w:left="2551" w:right="2999"/>
        <w:jc w:val="center"/>
      </w:pPr>
      <w:r>
        <w:t>第15条【信息披露】</w:t>
      </w:r>
    </w:p>
    <w:p>
      <w:pPr>
        <w:pStyle w:val="4"/>
      </w:pPr>
    </w:p>
    <w:p>
      <w:pPr>
        <w:pStyle w:val="4"/>
        <w:spacing w:before="7"/>
        <w:rPr>
          <w:sz w:val="38"/>
        </w:rPr>
      </w:pPr>
    </w:p>
    <w:p>
      <w:pPr>
        <w:pStyle w:val="4"/>
        <w:spacing w:line="364" w:lineRule="auto"/>
        <w:ind w:left="220" w:right="686" w:firstLine="559"/>
      </w:pPr>
      <w:r>
        <w:t>在预重整期间，债务人应当将与重整有关的所有信息向债权人、出资人、意向投资人等利害关系人全面、准确、合法地披露。</w:t>
      </w:r>
    </w:p>
    <w:p>
      <w:pPr>
        <w:pStyle w:val="4"/>
        <w:spacing w:before="62" w:line="364" w:lineRule="auto"/>
        <w:ind w:left="220" w:right="686" w:firstLine="559"/>
        <w:jc w:val="both"/>
      </w:pPr>
      <w:r>
        <w:t>债务人应当披露的信息包括导致破产重整的事由、生产经营状况、财务状况、资产状况、债务明细、涉诉涉执情况、重大不确定性诉讼、破产清算状态下的清偿率、意向投资人的投资计划、重整方案重大风险等。</w:t>
      </w:r>
    </w:p>
    <w:p>
      <w:pPr>
        <w:spacing w:after="0" w:line="364" w:lineRule="auto"/>
        <w:jc w:val="both"/>
        <w:sectPr>
          <w:footerReference r:id="rId13" w:type="default"/>
          <w:pgSz w:w="11910" w:h="16840"/>
          <w:pgMar w:top="1600" w:right="1060" w:bottom="980" w:left="1260" w:header="1148" w:footer="793" w:gutter="0"/>
          <w:pgNumType w:fmt="decimal" w:start="50"/>
          <w:cols w:space="720" w:num="1"/>
        </w:sectPr>
      </w:pPr>
    </w:p>
    <w:p>
      <w:pPr>
        <w:pStyle w:val="4"/>
        <w:spacing w:before="57"/>
        <w:ind w:left="2553" w:right="2999"/>
        <w:jc w:val="center"/>
      </w:pPr>
      <w:r>
        <w:t>第16条【预重整方案】</w:t>
      </w:r>
    </w:p>
    <w:p>
      <w:pPr>
        <w:pStyle w:val="4"/>
      </w:pPr>
    </w:p>
    <w:p>
      <w:pPr>
        <w:pStyle w:val="4"/>
        <w:spacing w:before="7"/>
        <w:rPr>
          <w:sz w:val="38"/>
        </w:rPr>
      </w:pPr>
    </w:p>
    <w:p>
      <w:pPr>
        <w:pStyle w:val="4"/>
        <w:spacing w:line="364" w:lineRule="auto"/>
        <w:ind w:left="220" w:right="686" w:firstLine="559"/>
      </w:pPr>
      <w:r>
        <w:rPr>
          <w:spacing w:val="-3"/>
        </w:rPr>
        <w:t>债务人制作的预重整方案应当包括《中华人民共和国企业破产法》第八十一条规定的主要内容。重整申请受理后，债务人可以在预重整方案的基础上制作重整计划草案，并提请合议庭召开债权人会议进行表 决。</w:t>
      </w:r>
    </w:p>
    <w:p>
      <w:pPr>
        <w:pStyle w:val="4"/>
      </w:pPr>
    </w:p>
    <w:p>
      <w:pPr>
        <w:pStyle w:val="4"/>
        <w:spacing w:before="10"/>
        <w:rPr>
          <w:sz w:val="23"/>
        </w:rPr>
      </w:pPr>
    </w:p>
    <w:p>
      <w:pPr>
        <w:pStyle w:val="4"/>
        <w:ind w:left="2551" w:right="2999"/>
        <w:jc w:val="center"/>
      </w:pPr>
      <w:r>
        <w:t>第17条【预重整工作报告】</w:t>
      </w:r>
    </w:p>
    <w:p>
      <w:pPr>
        <w:pStyle w:val="4"/>
      </w:pPr>
    </w:p>
    <w:p>
      <w:pPr>
        <w:pStyle w:val="4"/>
        <w:spacing w:before="7"/>
        <w:rPr>
          <w:sz w:val="38"/>
        </w:rPr>
      </w:pPr>
    </w:p>
    <w:p>
      <w:pPr>
        <w:pStyle w:val="4"/>
        <w:spacing w:line="364" w:lineRule="auto"/>
        <w:ind w:left="220" w:right="686" w:firstLine="559"/>
      </w:pPr>
      <w:r>
        <w:t>预重整工作完成或者预重整期间届满，临时管理人应当提交预重整工作报告。预重整工作报告一般包括下列内容：</w:t>
      </w:r>
    </w:p>
    <w:p>
      <w:pPr>
        <w:pStyle w:val="4"/>
        <w:spacing w:before="59"/>
        <w:ind w:left="780"/>
      </w:pPr>
      <w:r>
        <w:t>（一）债务人的基本情况；</w:t>
      </w:r>
    </w:p>
    <w:p>
      <w:pPr>
        <w:pStyle w:val="4"/>
        <w:spacing w:before="249"/>
        <w:ind w:left="780"/>
      </w:pPr>
      <w:r>
        <w:t>（二）债务人出现经营或财务困境的原因；</w:t>
      </w:r>
    </w:p>
    <w:p>
      <w:pPr>
        <w:pStyle w:val="4"/>
        <w:spacing w:before="246"/>
        <w:ind w:left="780"/>
      </w:pPr>
      <w:r>
        <w:t>（三）债务人的资产、负债状况；</w:t>
      </w:r>
    </w:p>
    <w:p>
      <w:pPr>
        <w:pStyle w:val="4"/>
        <w:spacing w:before="246"/>
        <w:ind w:left="780"/>
      </w:pPr>
      <w:r>
        <w:t>（四）债务人的生产经营状况；</w:t>
      </w:r>
    </w:p>
    <w:p>
      <w:pPr>
        <w:pStyle w:val="4"/>
        <w:spacing w:before="248"/>
        <w:ind w:left="780"/>
      </w:pPr>
      <w:r>
        <w:t>（五）债务人重整价值的分析意见；</w:t>
      </w:r>
    </w:p>
    <w:p>
      <w:pPr>
        <w:pStyle w:val="4"/>
        <w:spacing w:before="246"/>
        <w:ind w:left="780"/>
      </w:pPr>
      <w:r>
        <w:t>（六）债务人重整可行性的分析意见；</w:t>
      </w:r>
    </w:p>
    <w:p>
      <w:pPr>
        <w:pStyle w:val="4"/>
        <w:spacing w:before="246"/>
        <w:ind w:left="780"/>
      </w:pPr>
      <w:r>
        <w:t>（七）是否形成预重整方案以及预重整方案的协商情况；</w:t>
      </w:r>
    </w:p>
    <w:p>
      <w:pPr>
        <w:pStyle w:val="4"/>
        <w:spacing w:before="249"/>
        <w:ind w:left="780"/>
      </w:pPr>
      <w:r>
        <w:t>（八）进行重整的潜在风险及相关建议。</w:t>
      </w:r>
    </w:p>
    <w:p>
      <w:pPr>
        <w:pStyle w:val="4"/>
      </w:pPr>
    </w:p>
    <w:p>
      <w:pPr>
        <w:pStyle w:val="4"/>
        <w:spacing w:before="7"/>
        <w:rPr>
          <w:sz w:val="38"/>
        </w:rPr>
      </w:pPr>
    </w:p>
    <w:p>
      <w:pPr>
        <w:pStyle w:val="4"/>
        <w:spacing w:before="1"/>
        <w:ind w:left="421" w:right="867"/>
        <w:jc w:val="center"/>
      </w:pPr>
      <w:r>
        <w:t>第18条【与重整程序的衔接】</w:t>
      </w:r>
    </w:p>
    <w:p>
      <w:pPr>
        <w:pStyle w:val="4"/>
      </w:pPr>
    </w:p>
    <w:p>
      <w:pPr>
        <w:pStyle w:val="4"/>
        <w:spacing w:before="7"/>
        <w:rPr>
          <w:sz w:val="38"/>
        </w:rPr>
      </w:pPr>
    </w:p>
    <w:p>
      <w:pPr>
        <w:pStyle w:val="4"/>
        <w:ind w:left="780"/>
      </w:pPr>
      <w:r>
        <w:t>法院自收到预重整工作报告和书面申请等材料之日起十日内裁定是</w:t>
      </w:r>
    </w:p>
    <w:p>
      <w:pPr>
        <w:spacing w:after="0"/>
        <w:sectPr>
          <w:pgSz w:w="11910" w:h="16840"/>
          <w:pgMar w:top="1600" w:right="1060" w:bottom="980" w:left="1260" w:header="1148" w:footer="793" w:gutter="0"/>
          <w:pgNumType w:fmt="decimal"/>
          <w:cols w:space="720" w:num="1"/>
        </w:sectPr>
      </w:pPr>
    </w:p>
    <w:p>
      <w:pPr>
        <w:pStyle w:val="4"/>
        <w:spacing w:before="57" w:line="364" w:lineRule="auto"/>
        <w:ind w:left="220" w:right="686"/>
      </w:pPr>
      <w:r>
        <w:t>否受理重整申请。合议庭认为有必要的，可以组织听证，组织听证调查的时间不计入重整申请的审查期间。</w:t>
      </w:r>
    </w:p>
    <w:p>
      <w:pPr>
        <w:pStyle w:val="4"/>
      </w:pPr>
    </w:p>
    <w:p>
      <w:pPr>
        <w:pStyle w:val="4"/>
        <w:spacing w:before="12"/>
        <w:rPr>
          <w:sz w:val="23"/>
        </w:rPr>
      </w:pPr>
    </w:p>
    <w:p>
      <w:pPr>
        <w:pStyle w:val="4"/>
        <w:spacing w:before="1" w:line="362" w:lineRule="auto"/>
        <w:ind w:left="220" w:right="686" w:firstLine="559"/>
      </w:pPr>
      <w:r>
        <w:t>对已形成预重整方案，合议庭认为符合受理重整申请案件的，裁定予以受理。裁定受理重整申请的，预重整程序自然终止。</w:t>
      </w:r>
    </w:p>
    <w:p>
      <w:pPr>
        <w:pStyle w:val="4"/>
        <w:spacing w:before="66" w:line="364" w:lineRule="auto"/>
        <w:ind w:left="220" w:right="686" w:firstLine="559"/>
      </w:pPr>
      <w:r>
        <w:t>裁定不予受理重整申请但查明债务人具备破产原因的，可以告知申请人依法另行提出破产清算申请。</w:t>
      </w:r>
    </w:p>
    <w:p>
      <w:pPr>
        <w:pStyle w:val="4"/>
      </w:pPr>
    </w:p>
    <w:p>
      <w:pPr>
        <w:pStyle w:val="4"/>
        <w:spacing w:before="12"/>
        <w:rPr>
          <w:sz w:val="23"/>
        </w:rPr>
      </w:pPr>
    </w:p>
    <w:p>
      <w:pPr>
        <w:pStyle w:val="4"/>
        <w:ind w:left="2551" w:right="2999"/>
        <w:jc w:val="center"/>
      </w:pPr>
      <w:r>
        <w:t>第19条【效力延伸】</w:t>
      </w:r>
    </w:p>
    <w:p>
      <w:pPr>
        <w:pStyle w:val="4"/>
      </w:pPr>
    </w:p>
    <w:p>
      <w:pPr>
        <w:pStyle w:val="4"/>
        <w:spacing w:before="5"/>
        <w:rPr>
          <w:sz w:val="38"/>
        </w:rPr>
      </w:pPr>
    </w:p>
    <w:p>
      <w:pPr>
        <w:pStyle w:val="4"/>
        <w:spacing w:before="1" w:line="364" w:lineRule="auto"/>
        <w:ind w:left="220" w:right="686" w:firstLine="559"/>
      </w:pPr>
      <w:r>
        <w:rPr>
          <w:spacing w:val="-3"/>
        </w:rPr>
        <w:t>裁定受理重整申请前，债务人和部分债权人、出资人已经达成有关协议或者预重整程序中已经拟定预重整方案，并且具有下列情形之一 的，有关债权人、出资人对该协议或方案的同意视为对重整程序中制作的重整计划草案表决的同意：</w:t>
      </w:r>
    </w:p>
    <w:p>
      <w:pPr>
        <w:pStyle w:val="4"/>
        <w:spacing w:before="60" w:line="364" w:lineRule="auto"/>
        <w:ind w:left="220" w:right="967" w:firstLine="559"/>
      </w:pPr>
      <w:r>
        <w:t>（一）该协议或方案与重整程序中制作的重整计划草案内容一致的；</w:t>
      </w:r>
    </w:p>
    <w:p>
      <w:pPr>
        <w:pStyle w:val="4"/>
        <w:spacing w:before="59" w:line="364" w:lineRule="auto"/>
        <w:ind w:left="220" w:right="686" w:firstLine="559"/>
        <w:jc w:val="both"/>
      </w:pPr>
      <w:r>
        <w:t>（二）重整计划草案对债权人、出资人承诺或者同意内容的修改未实质影响到债权人、出资人利益，且相关债权人、出资人同意不再对重整计划草案进行表决的。</w:t>
      </w:r>
    </w:p>
    <w:p>
      <w:pPr>
        <w:pStyle w:val="4"/>
      </w:pPr>
    </w:p>
    <w:p>
      <w:pPr>
        <w:pStyle w:val="4"/>
        <w:spacing w:before="10"/>
        <w:rPr>
          <w:sz w:val="23"/>
        </w:rPr>
      </w:pPr>
    </w:p>
    <w:p>
      <w:pPr>
        <w:pStyle w:val="4"/>
        <w:ind w:left="2551" w:right="2999"/>
        <w:jc w:val="center"/>
      </w:pPr>
      <w:r>
        <w:t>第20条【效力延伸的例外】</w:t>
      </w:r>
    </w:p>
    <w:p>
      <w:pPr>
        <w:pStyle w:val="4"/>
      </w:pPr>
    </w:p>
    <w:p>
      <w:pPr>
        <w:pStyle w:val="4"/>
        <w:spacing w:before="7"/>
        <w:rPr>
          <w:sz w:val="38"/>
        </w:rPr>
      </w:pPr>
    </w:p>
    <w:p>
      <w:pPr>
        <w:pStyle w:val="4"/>
        <w:spacing w:before="1" w:line="364" w:lineRule="auto"/>
        <w:ind w:left="220" w:right="686" w:firstLine="559"/>
      </w:pPr>
      <w:r>
        <w:t>裁定受理重整申请前，债务人和部分债权人、出资人已经达成有关协议或者预重整程序中已经拟定预重整方案，但具有下列情形之一的，</w:t>
      </w:r>
    </w:p>
    <w:p>
      <w:pPr>
        <w:spacing w:after="0" w:line="364" w:lineRule="auto"/>
        <w:sectPr>
          <w:pgSz w:w="11910" w:h="16840"/>
          <w:pgMar w:top="1600" w:right="1060" w:bottom="980" w:left="1260" w:header="1148" w:footer="793" w:gutter="0"/>
          <w:pgNumType w:fmt="decimal"/>
          <w:cols w:space="720" w:num="1"/>
        </w:sectPr>
      </w:pPr>
    </w:p>
    <w:p>
      <w:pPr>
        <w:pStyle w:val="4"/>
        <w:spacing w:before="57" w:line="364" w:lineRule="auto"/>
        <w:ind w:left="220" w:right="686"/>
      </w:pPr>
      <w:r>
        <w:t>重整程序中制作的重整计划草案应当重新取得有关债权人、出资人的同意：</w:t>
      </w:r>
    </w:p>
    <w:p>
      <w:pPr>
        <w:pStyle w:val="4"/>
        <w:spacing w:before="59" w:line="364" w:lineRule="auto"/>
        <w:ind w:left="220" w:right="686" w:firstLine="559"/>
        <w:jc w:val="both"/>
      </w:pPr>
      <w:r>
        <w:t>（一）重整计划草案对协议或方案内容进行了修改并对有关权利人产生不利影响，或者与有关权利人重大利益相关的，受到实质性影响的权利人有权按照企业破产法的规定对重整计划草案重新进行表决。</w:t>
      </w:r>
    </w:p>
    <w:p>
      <w:pPr>
        <w:pStyle w:val="4"/>
        <w:spacing w:before="61" w:line="364" w:lineRule="auto"/>
        <w:ind w:left="220" w:right="686" w:firstLine="559"/>
      </w:pPr>
      <w:r>
        <w:t>（</w:t>
      </w:r>
      <w:r>
        <w:rPr>
          <w:spacing w:val="-3"/>
        </w:rPr>
        <w:t>二</w:t>
      </w:r>
      <w:r>
        <w:t>）</w:t>
      </w:r>
      <w:r>
        <w:rPr>
          <w:spacing w:val="-3"/>
        </w:rPr>
        <w:t>协议达成或方案表决前债务人隐瞒重要信息、披露虚假信 息，以及协议达成或方案表决后出现重大变化的，受到实质性影响的权利人有权按照企业破产法的规定对重整计划草案重新进行表决。</w:t>
      </w:r>
    </w:p>
    <w:p>
      <w:pPr>
        <w:pStyle w:val="4"/>
      </w:pPr>
    </w:p>
    <w:p>
      <w:pPr>
        <w:pStyle w:val="4"/>
        <w:spacing w:before="9"/>
        <w:rPr>
          <w:sz w:val="23"/>
        </w:rPr>
      </w:pPr>
    </w:p>
    <w:p>
      <w:pPr>
        <w:pStyle w:val="4"/>
        <w:ind w:left="2553" w:right="2999"/>
        <w:jc w:val="center"/>
      </w:pPr>
      <w:r>
        <w:t>第21条【终结预重整】</w:t>
      </w:r>
    </w:p>
    <w:p>
      <w:pPr>
        <w:pStyle w:val="4"/>
      </w:pPr>
    </w:p>
    <w:p>
      <w:pPr>
        <w:pStyle w:val="4"/>
        <w:spacing w:before="8"/>
        <w:rPr>
          <w:sz w:val="38"/>
        </w:rPr>
      </w:pPr>
    </w:p>
    <w:p>
      <w:pPr>
        <w:pStyle w:val="4"/>
        <w:spacing w:line="364" w:lineRule="auto"/>
        <w:ind w:left="220" w:right="686" w:firstLine="559"/>
      </w:pPr>
      <w:r>
        <w:t>预重整期间，债务人有下列情形之一的，临时管理人应当及时向法院提交终结预重整程序的申请：</w:t>
      </w:r>
    </w:p>
    <w:p>
      <w:pPr>
        <w:pStyle w:val="4"/>
        <w:spacing w:before="59"/>
        <w:ind w:left="780"/>
      </w:pPr>
      <w:r>
        <w:t>（一）明显缺乏重整价值和挽救可能；</w:t>
      </w:r>
    </w:p>
    <w:p>
      <w:pPr>
        <w:pStyle w:val="4"/>
        <w:spacing w:before="249" w:line="364" w:lineRule="auto"/>
        <w:ind w:left="220" w:right="686" w:firstLine="559"/>
      </w:pPr>
      <w:r>
        <w:t>（二）存在《中华人民共和国企业破产法》第三十三条规定情形， 以及其他严重损害债权人利益的情形；</w:t>
      </w:r>
    </w:p>
    <w:p>
      <w:pPr>
        <w:pStyle w:val="4"/>
        <w:spacing w:before="59" w:line="405" w:lineRule="auto"/>
        <w:ind w:left="780" w:right="686"/>
      </w:pPr>
      <w:r>
        <w:t>（三）债务人不配合履行本指引第十二条规定的义务且不予纠正。经临时管理人申请，合议庭可以决定终结预重整，并及时对是否受</w:t>
      </w:r>
    </w:p>
    <w:p>
      <w:pPr>
        <w:pStyle w:val="4"/>
        <w:spacing w:line="296" w:lineRule="exact"/>
        <w:ind w:left="220"/>
      </w:pPr>
      <w:r>
        <w:t>理重整作出裁定。</w:t>
      </w:r>
    </w:p>
    <w:p>
      <w:pPr>
        <w:pStyle w:val="4"/>
      </w:pPr>
    </w:p>
    <w:p>
      <w:pPr>
        <w:pStyle w:val="4"/>
        <w:spacing w:before="7"/>
        <w:rPr>
          <w:sz w:val="38"/>
        </w:rPr>
      </w:pPr>
    </w:p>
    <w:p>
      <w:pPr>
        <w:pStyle w:val="4"/>
        <w:ind w:left="2551" w:right="2999"/>
        <w:jc w:val="center"/>
      </w:pPr>
      <w:r>
        <w:t>第22条【临时管理人报酬】</w:t>
      </w:r>
    </w:p>
    <w:p>
      <w:pPr>
        <w:pStyle w:val="4"/>
      </w:pPr>
    </w:p>
    <w:p>
      <w:pPr>
        <w:pStyle w:val="4"/>
        <w:spacing w:before="8"/>
        <w:rPr>
          <w:sz w:val="38"/>
        </w:rPr>
      </w:pPr>
    </w:p>
    <w:p>
      <w:pPr>
        <w:pStyle w:val="4"/>
        <w:spacing w:line="364" w:lineRule="auto"/>
        <w:ind w:left="220" w:right="686" w:firstLine="559"/>
      </w:pPr>
      <w:r>
        <w:t>在预重整期间，临时管理人支出的差旅费、调查费等执行职务费用先由本院收取的预重整费用中开支，不足部分由债务人财产随时支付。</w:t>
      </w:r>
    </w:p>
    <w:p>
      <w:pPr>
        <w:spacing w:after="0" w:line="364" w:lineRule="auto"/>
        <w:sectPr>
          <w:pgSz w:w="11910" w:h="16840"/>
          <w:pgMar w:top="1600" w:right="1060" w:bottom="980" w:left="1260" w:header="1148" w:footer="793" w:gutter="0"/>
          <w:pgNumType w:fmt="decimal"/>
          <w:cols w:space="720" w:num="1"/>
        </w:sectPr>
      </w:pPr>
    </w:p>
    <w:p>
      <w:pPr>
        <w:pStyle w:val="4"/>
        <w:spacing w:before="57"/>
        <w:ind w:left="220"/>
      </w:pPr>
      <w:r>
        <w:t>债务人未及时支付的，受理重整申请后，列入破产费用。</w:t>
      </w:r>
    </w:p>
    <w:p>
      <w:pPr>
        <w:pStyle w:val="4"/>
        <w:spacing w:before="246" w:line="364" w:lineRule="auto"/>
        <w:ind w:left="220" w:right="686" w:firstLine="559"/>
        <w:jc w:val="both"/>
      </w:pPr>
      <w:r>
        <w:t>临时管理人在预重整期间付出合理劳动的，可以在完成预重整工作报告后向债务人收取适当报酬。报酬数额由临时管理人和债务人协商确定，协商不成的，由合议庭根据实际工作情况确定。</w:t>
      </w:r>
    </w:p>
    <w:p>
      <w:pPr>
        <w:pStyle w:val="4"/>
        <w:spacing w:before="58" w:line="364" w:lineRule="auto"/>
        <w:ind w:left="220" w:right="686" w:firstLine="559"/>
        <w:jc w:val="both"/>
      </w:pPr>
      <w:r>
        <w:t>预重整成功转入重整程序，本院决定临时管理人继续担任重整案件管理人的，预重整期间临时管理人履职表现可作为其报酬上浮的参考因素，管理人不另行收取预重整报酬。</w:t>
      </w:r>
    </w:p>
    <w:p>
      <w:pPr>
        <w:pStyle w:val="4"/>
      </w:pPr>
    </w:p>
    <w:p>
      <w:pPr>
        <w:pStyle w:val="4"/>
        <w:rPr>
          <w:sz w:val="24"/>
        </w:rPr>
      </w:pPr>
    </w:p>
    <w:p>
      <w:pPr>
        <w:pStyle w:val="4"/>
        <w:ind w:left="2551" w:right="2999"/>
        <w:jc w:val="center"/>
      </w:pPr>
      <w:r>
        <w:t>第23条【债务人对外借款】</w:t>
      </w:r>
    </w:p>
    <w:p>
      <w:pPr>
        <w:pStyle w:val="4"/>
      </w:pPr>
    </w:p>
    <w:p>
      <w:pPr>
        <w:pStyle w:val="4"/>
        <w:spacing w:before="7"/>
        <w:rPr>
          <w:sz w:val="38"/>
        </w:rPr>
      </w:pPr>
    </w:p>
    <w:p>
      <w:pPr>
        <w:pStyle w:val="4"/>
        <w:spacing w:line="364" w:lineRule="auto"/>
        <w:ind w:left="220" w:right="686" w:firstLine="559"/>
        <w:jc w:val="both"/>
      </w:pPr>
      <w:r>
        <w:t>预重整期间，债务人因持续经营需要，经临时管理人同意，可以对外借款。受理重整申请后，经本院审查，该借款可以作为共益债务从债务人财产中清偿。</w:t>
      </w:r>
    </w:p>
    <w:p>
      <w:pPr>
        <w:pStyle w:val="4"/>
      </w:pPr>
    </w:p>
    <w:p>
      <w:pPr>
        <w:pStyle w:val="4"/>
        <w:rPr>
          <w:sz w:val="24"/>
        </w:rPr>
      </w:pPr>
    </w:p>
    <w:p>
      <w:pPr>
        <w:pStyle w:val="4"/>
        <w:ind w:left="2551" w:right="2999"/>
        <w:jc w:val="center"/>
      </w:pPr>
      <w:r>
        <w:t>第24条【解释主体】</w:t>
      </w:r>
    </w:p>
    <w:p>
      <w:pPr>
        <w:pStyle w:val="4"/>
      </w:pPr>
    </w:p>
    <w:p>
      <w:pPr>
        <w:pStyle w:val="4"/>
        <w:spacing w:before="7"/>
        <w:rPr>
          <w:sz w:val="38"/>
        </w:rPr>
      </w:pPr>
    </w:p>
    <w:p>
      <w:pPr>
        <w:pStyle w:val="4"/>
        <w:spacing w:line="362" w:lineRule="auto"/>
        <w:ind w:left="220" w:right="686" w:firstLine="559"/>
      </w:pPr>
      <w:r>
        <w:t>本工作指引由本院审判委员会讨论通过并负责解释。法律、司法解释有不同规定的，按照法律、司法解释的规定办理。</w:t>
      </w:r>
    </w:p>
    <w:p>
      <w:pPr>
        <w:pStyle w:val="4"/>
      </w:pPr>
    </w:p>
    <w:p>
      <w:pPr>
        <w:pStyle w:val="4"/>
        <w:spacing w:before="5"/>
        <w:rPr>
          <w:sz w:val="24"/>
        </w:rPr>
      </w:pPr>
    </w:p>
    <w:p>
      <w:pPr>
        <w:pStyle w:val="4"/>
        <w:ind w:left="2553" w:right="2999"/>
        <w:jc w:val="center"/>
      </w:pPr>
      <w:r>
        <w:t>第25条【试行】</w:t>
      </w:r>
    </w:p>
    <w:p>
      <w:pPr>
        <w:pStyle w:val="4"/>
      </w:pPr>
    </w:p>
    <w:p>
      <w:pPr>
        <w:pStyle w:val="4"/>
        <w:keepNext w:val="0"/>
        <w:keepLines w:val="0"/>
        <w:pageBreakBefore w:val="0"/>
        <w:widowControl w:val="0"/>
        <w:kinsoku/>
        <w:wordWrap/>
        <w:overflowPunct/>
        <w:topLinePunct w:val="0"/>
        <w:autoSpaceDE w:val="0"/>
        <w:autoSpaceDN w:val="0"/>
        <w:bidi w:val="0"/>
        <w:adjustRightInd/>
        <w:snapToGrid/>
        <w:spacing w:line="240" w:lineRule="auto"/>
        <w:ind w:left="0" w:right="0" w:firstLine="560" w:firstLineChars="200"/>
        <w:jc w:val="both"/>
        <w:textAlignment w:val="auto"/>
      </w:pPr>
      <w:r>
        <w:t>本工作指引自公布之日起试行。</w:t>
      </w:r>
    </w:p>
    <w:p>
      <w:pPr>
        <w:pStyle w:val="4"/>
        <w:spacing w:line="240" w:lineRule="auto"/>
        <w:ind w:left="0" w:right="0"/>
        <w:jc w:val="both"/>
      </w:pPr>
    </w:p>
    <w:p>
      <w:pPr>
        <w:pStyle w:val="4"/>
        <w:keepNext w:val="0"/>
        <w:keepLines w:val="0"/>
        <w:pageBreakBefore w:val="0"/>
        <w:widowControl w:val="0"/>
        <w:kinsoku/>
        <w:wordWrap/>
        <w:overflowPunct/>
        <w:topLinePunct w:val="0"/>
        <w:autoSpaceDE w:val="0"/>
        <w:autoSpaceDN w:val="0"/>
        <w:bidi w:val="0"/>
        <w:adjustRightInd/>
        <w:snapToGrid/>
        <w:spacing w:line="360" w:lineRule="auto"/>
        <w:ind w:left="0" w:right="0" w:firstLine="560" w:firstLineChars="200"/>
        <w:jc w:val="both"/>
        <w:textAlignment w:val="auto"/>
      </w:pPr>
      <w:r>
        <w:t>来源：株洲中院公众号</w:t>
      </w:r>
      <w:r>
        <w:rPr>
          <w:rFonts w:hint="eastAsia"/>
        </w:rPr>
        <w:t>https://mp.weixin.qq.com/s/7glnZLOxv32kqmBCtim1Ig</w:t>
      </w:r>
    </w:p>
    <w:p>
      <w:pPr>
        <w:spacing w:after="0" w:line="240" w:lineRule="auto"/>
        <w:ind w:left="0" w:right="0"/>
        <w:jc w:val="both"/>
        <w:sectPr>
          <w:pgSz w:w="11910" w:h="16840"/>
          <w:pgMar w:top="1600" w:right="1060" w:bottom="980" w:left="1260" w:header="1148" w:footer="793" w:gutter="0"/>
          <w:pgNumType w:fmt="decimal"/>
          <w:cols w:space="720" w:num="1"/>
        </w:sectPr>
      </w:pPr>
    </w:p>
    <w:p>
      <w:pPr>
        <w:pStyle w:val="4"/>
        <w:spacing w:before="9"/>
        <w:rPr>
          <w:sz w:val="21"/>
        </w:rPr>
      </w:pPr>
    </w:p>
    <w:p>
      <w:pPr>
        <w:spacing w:before="62" w:line="564" w:lineRule="auto"/>
        <w:ind w:left="1132" w:right="2162" w:hanging="593"/>
        <w:jc w:val="left"/>
        <w:rPr>
          <w:sz w:val="28"/>
        </w:rPr>
      </w:pPr>
      <w:r>
        <w:drawing>
          <wp:anchor distT="0" distB="0" distL="0" distR="0" simplePos="0" relativeHeight="251660288" behindDoc="0" locked="0" layoutInCell="1" allowOverlap="1">
            <wp:simplePos x="0" y="0"/>
            <wp:positionH relativeFrom="page">
              <wp:posOffset>939800</wp:posOffset>
            </wp:positionH>
            <wp:positionV relativeFrom="paragraph">
              <wp:posOffset>1132205</wp:posOffset>
            </wp:positionV>
            <wp:extent cx="5659755" cy="3388360"/>
            <wp:effectExtent l="0" t="0" r="0" b="0"/>
            <wp:wrapTopAndBottom/>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png"/>
                    <pic:cNvPicPr>
                      <a:picLocks noChangeAspect="1"/>
                    </pic:cNvPicPr>
                  </pic:nvPicPr>
                  <pic:blipFill>
                    <a:blip r:embed="rId33" cstate="print"/>
                    <a:stretch>
                      <a:fillRect/>
                    </a:stretch>
                  </pic:blipFill>
                  <pic:spPr>
                    <a:xfrm>
                      <a:off x="0" y="0"/>
                      <a:ext cx="5659517" cy="3388423"/>
                    </a:xfrm>
                    <a:prstGeom prst="rect">
                      <a:avLst/>
                    </a:prstGeom>
                  </pic:spPr>
                </pic:pic>
              </a:graphicData>
            </a:graphic>
          </wp:anchor>
        </w:drawing>
      </w:r>
      <w:bookmarkStart w:id="41" w:name="六、宜宾中院发布个人债务集中清理 审理规程（试行）"/>
      <w:bookmarkEnd w:id="41"/>
      <w:r>
        <w:rPr>
          <w:b/>
          <w:color w:val="202020"/>
          <w:sz w:val="28"/>
        </w:rPr>
        <w:t xml:space="preserve">六、宜宾中院发布个人债务集中清理 审理规程（试行） </w:t>
      </w:r>
      <w:r>
        <w:rPr>
          <w:color w:val="202020"/>
          <w:sz w:val="28"/>
        </w:rPr>
        <w:t>宜宾中院 2022-06-06 20:30 发表于四川</w:t>
      </w:r>
    </w:p>
    <w:p>
      <w:pPr>
        <w:pStyle w:val="4"/>
        <w:rPr>
          <w:sz w:val="20"/>
        </w:rPr>
      </w:pPr>
    </w:p>
    <w:p>
      <w:pPr>
        <w:pStyle w:val="4"/>
        <w:spacing w:before="198"/>
        <w:ind w:left="840"/>
      </w:pPr>
      <w:r>
        <w:rPr>
          <w:color w:val="202020"/>
        </w:rPr>
        <w:t>为深入贯彻国家发展和改革委员会、最高人民法院等联合印发的</w:t>
      </w:r>
    </w:p>
    <w:p>
      <w:pPr>
        <w:pStyle w:val="4"/>
        <w:spacing w:before="186" w:line="364" w:lineRule="auto"/>
        <w:ind w:left="220" w:right="840"/>
        <w:jc w:val="both"/>
        <w:rPr>
          <w:b/>
        </w:rPr>
      </w:pPr>
      <w:r>
        <w:rPr>
          <w:color w:val="202020"/>
        </w:rPr>
        <w:t xml:space="preserve">《加快完善市场主体退出制度改革方案》中“关于研究推动建立个人破产制度及相关配套机制”的要求，在保障全体债权人公平受偿和防范打击逃废债行为的基础上，给诚信而不幸的被执行人以重生机会， </w:t>
      </w:r>
      <w:r>
        <w:rPr>
          <w:color w:val="202020"/>
          <w:spacing w:val="11"/>
        </w:rPr>
        <w:t>进一步优化营商环境，保障执行不能案件有序退出，</w:t>
      </w:r>
      <w:r>
        <w:rPr>
          <w:b/>
          <w:color w:val="0000FF"/>
          <w:spacing w:val="11"/>
        </w:rPr>
        <w:t>宜宾中院参照</w:t>
      </w:r>
    </w:p>
    <w:p>
      <w:pPr>
        <w:pStyle w:val="3"/>
        <w:spacing w:line="364" w:lineRule="auto"/>
        <w:ind w:left="220" w:right="842"/>
        <w:jc w:val="both"/>
      </w:pPr>
      <w:r>
        <w:rPr>
          <w:color w:val="0000FF"/>
        </w:rPr>
        <w:t>《中华人民共和国企业破产法》《中华人民共和国民事诉讼法》等相关法律规定，结合本市实际，制定发布了《宜宾市中级人民法院个人债务集中清理审理规程（试行）》（以下简称《审理规程》）。</w:t>
      </w:r>
    </w:p>
    <w:p>
      <w:pPr>
        <w:pStyle w:val="4"/>
        <w:spacing w:before="68" w:line="364" w:lineRule="auto"/>
        <w:ind w:left="220" w:right="842" w:firstLine="559"/>
      </w:pPr>
      <w:r>
        <w:rPr>
          <w:color w:val="202020"/>
        </w:rPr>
        <w:t>本规程共计40个条文，对个人债务集中清理的适用对象、启动方式等各个方面的内容进行了全面的规定。</w:t>
      </w:r>
    </w:p>
    <w:p>
      <w:pPr>
        <w:spacing w:after="0" w:line="364" w:lineRule="auto"/>
        <w:sectPr>
          <w:pgSz w:w="11910" w:h="16840"/>
          <w:pgMar w:top="1600" w:right="1060" w:bottom="980" w:left="1260" w:header="1148" w:footer="793" w:gutter="0"/>
          <w:pgNumType w:fmt="decimal"/>
          <w:cols w:space="720" w:num="1"/>
        </w:sectPr>
      </w:pPr>
    </w:p>
    <w:p>
      <w:pPr>
        <w:pStyle w:val="3"/>
        <w:spacing w:before="57"/>
        <w:ind w:left="421" w:right="425"/>
        <w:jc w:val="center"/>
      </w:pPr>
      <w:r>
        <w:rPr>
          <w:color w:val="0000FF"/>
        </w:rPr>
        <w:t>一、哪些人可以申请个人债务集中清理？</w:t>
      </w:r>
    </w:p>
    <w:p>
      <w:pPr>
        <w:pStyle w:val="4"/>
        <w:rPr>
          <w:b/>
        </w:rPr>
      </w:pPr>
    </w:p>
    <w:p>
      <w:pPr>
        <w:pStyle w:val="4"/>
        <w:spacing w:before="8"/>
        <w:rPr>
          <w:b/>
          <w:sz w:val="40"/>
        </w:rPr>
      </w:pPr>
    </w:p>
    <w:p>
      <w:pPr>
        <w:pStyle w:val="4"/>
        <w:spacing w:line="364" w:lineRule="auto"/>
        <w:ind w:left="220" w:right="840" w:firstLine="619"/>
        <w:jc w:val="both"/>
      </w:pPr>
      <w:r>
        <w:rPr>
          <w:color w:val="202020"/>
        </w:rPr>
        <w:t>经常居住地在宜宾市内且参加宜宾市内社会保险或缴纳个人所得税连续满三年的自然人，因生产经营、生活消费导致丧失清偿债务能力的，可以适用本规程进行个人债务集中清理。在宜宾市登记注册的个体工商户可适用本规程。</w:t>
      </w:r>
    </w:p>
    <w:p>
      <w:pPr>
        <w:pStyle w:val="4"/>
        <w:spacing w:before="75"/>
        <w:ind w:left="840"/>
      </w:pPr>
      <w:r>
        <w:rPr>
          <w:color w:val="202020"/>
        </w:rPr>
        <w:t>申请人符合以下条件的可以认定为生产经营困难∶</w:t>
      </w:r>
    </w:p>
    <w:p>
      <w:pPr>
        <w:pStyle w:val="4"/>
        <w:spacing w:before="2"/>
        <w:rPr>
          <w:sz w:val="20"/>
        </w:rPr>
      </w:pPr>
    </w:p>
    <w:p>
      <w:pPr>
        <w:pStyle w:val="4"/>
        <w:spacing w:line="367" w:lineRule="auto"/>
        <w:ind w:left="220" w:right="840" w:firstLine="619"/>
      </w:pPr>
      <w:r>
        <w:rPr>
          <w:color w:val="202020"/>
        </w:rPr>
        <w:t>（一）企业具备破产原因，或已进入破产程序，或已经破产，为</w:t>
      </w:r>
      <w:r>
        <w:rPr>
          <w:color w:val="202020"/>
          <w:spacing w:val="-3"/>
        </w:rPr>
        <w:t>其债务承担保证责任的自然人;</w:t>
      </w:r>
    </w:p>
    <w:p>
      <w:pPr>
        <w:pStyle w:val="4"/>
        <w:spacing w:before="68" w:line="364" w:lineRule="auto"/>
        <w:ind w:left="220" w:right="840" w:firstLine="619"/>
      </w:pPr>
      <w:r>
        <w:rPr>
          <w:color w:val="202020"/>
        </w:rPr>
        <w:t>（二）企业具备破产原因，或进入破产程序，或已经破产，对企</w:t>
      </w:r>
      <w:r>
        <w:rPr>
          <w:color w:val="202020"/>
          <w:spacing w:val="-3"/>
        </w:rPr>
        <w:t>业债务承担连带责任的自然人;</w:t>
      </w:r>
    </w:p>
    <w:p>
      <w:pPr>
        <w:pStyle w:val="4"/>
        <w:spacing w:before="74"/>
        <w:ind w:left="840"/>
      </w:pPr>
      <w:r>
        <w:rPr>
          <w:color w:val="202020"/>
        </w:rPr>
        <w:t>（三）企业的股东或投资者的财产与企业财产混同的。</w:t>
      </w:r>
    </w:p>
    <w:p>
      <w:pPr>
        <w:pStyle w:val="4"/>
        <w:spacing w:before="6"/>
        <w:rPr>
          <w:sz w:val="15"/>
        </w:rPr>
      </w:pPr>
    </w:p>
    <w:p>
      <w:pPr>
        <w:pStyle w:val="4"/>
        <w:spacing w:before="62"/>
        <w:ind w:left="840"/>
      </w:pPr>
      <w:r>
        <w:rPr>
          <w:color w:val="202020"/>
        </w:rPr>
        <w:t>该规程第五条明确，具有下列条件之一的债务人，不适用本规</w:t>
      </w:r>
    </w:p>
    <w:p>
      <w:pPr>
        <w:pStyle w:val="4"/>
        <w:spacing w:before="186"/>
        <w:ind w:left="220"/>
      </w:pPr>
      <w:r>
        <w:rPr>
          <w:color w:val="202020"/>
        </w:rPr>
        <w:t>程∶</w:t>
      </w:r>
    </w:p>
    <w:p>
      <w:pPr>
        <w:pStyle w:val="4"/>
        <w:spacing w:before="7"/>
        <w:rPr>
          <w:sz w:val="15"/>
        </w:rPr>
      </w:pPr>
    </w:p>
    <w:p>
      <w:pPr>
        <w:pStyle w:val="4"/>
        <w:spacing w:before="61" w:line="364" w:lineRule="auto"/>
        <w:ind w:left="220" w:right="840" w:firstLine="619"/>
        <w:jc w:val="both"/>
      </w:pPr>
      <w:r>
        <w:rPr>
          <w:color w:val="202020"/>
        </w:rPr>
        <w:t>（一）在宜宾市外有作为被执行人、被告或者被申请人的应负或者可能应负金钱给付义务的在执、在诉、仲裁、公证债权案件，但该案件债权人自愿参与本规定程序的除外;</w:t>
      </w:r>
    </w:p>
    <w:p>
      <w:pPr>
        <w:pStyle w:val="4"/>
        <w:spacing w:before="73"/>
        <w:ind w:left="840"/>
      </w:pPr>
      <w:r>
        <w:rPr>
          <w:color w:val="202020"/>
        </w:rPr>
        <w:t>（二）因赌博、挥霍消费等不良原因导致不能清偿债务的;</w:t>
      </w:r>
    </w:p>
    <w:p>
      <w:pPr>
        <w:pStyle w:val="4"/>
        <w:spacing w:before="7"/>
        <w:rPr>
          <w:sz w:val="20"/>
        </w:rPr>
      </w:pPr>
    </w:p>
    <w:p>
      <w:pPr>
        <w:pStyle w:val="4"/>
        <w:ind w:left="840"/>
      </w:pPr>
      <w:r>
        <w:rPr>
          <w:color w:val="202020"/>
        </w:rPr>
        <w:t>（三）有履行能力而拒不履行生效法律文书确定义务的;</w:t>
      </w:r>
    </w:p>
    <w:p>
      <w:pPr>
        <w:pStyle w:val="4"/>
        <w:spacing w:before="6"/>
        <w:rPr>
          <w:sz w:val="15"/>
        </w:rPr>
      </w:pPr>
    </w:p>
    <w:p>
      <w:pPr>
        <w:pStyle w:val="4"/>
        <w:spacing w:before="62"/>
        <w:ind w:left="840"/>
      </w:pPr>
      <w:r>
        <w:rPr>
          <w:color w:val="202020"/>
        </w:rPr>
        <w:t>（四）以伪造证据、暴力、威胁等方法妨碍案件审理、抗拒执行</w:t>
      </w:r>
    </w:p>
    <w:p>
      <w:pPr>
        <w:pStyle w:val="4"/>
        <w:spacing w:before="186"/>
        <w:ind w:left="220"/>
      </w:pPr>
      <w:r>
        <w:rPr>
          <w:color w:val="202020"/>
        </w:rPr>
        <w:t>的;</w:t>
      </w:r>
    </w:p>
    <w:p>
      <w:pPr>
        <w:pStyle w:val="4"/>
        <w:spacing w:before="7"/>
        <w:rPr>
          <w:sz w:val="15"/>
        </w:rPr>
      </w:pPr>
    </w:p>
    <w:p>
      <w:pPr>
        <w:pStyle w:val="4"/>
        <w:spacing w:before="61" w:line="364" w:lineRule="auto"/>
        <w:ind w:left="220" w:right="840" w:firstLine="619"/>
      </w:pPr>
      <w:r>
        <w:rPr>
          <w:color w:val="202020"/>
        </w:rPr>
        <w:t>（五）以虚假诉讼、虚假仲裁或者以隐匿、转移财产等方法妨害诉讼、规避执行的;</w:t>
      </w:r>
    </w:p>
    <w:p>
      <w:pPr>
        <w:pStyle w:val="4"/>
        <w:spacing w:before="74"/>
        <w:ind w:left="840"/>
      </w:pPr>
      <w:r>
        <w:rPr>
          <w:color w:val="202020"/>
        </w:rPr>
        <w:t>（六）违反限制消费令的;</w:t>
      </w:r>
    </w:p>
    <w:p>
      <w:pPr>
        <w:spacing w:after="0"/>
        <w:sectPr>
          <w:pgSz w:w="11910" w:h="16840"/>
          <w:pgMar w:top="1600" w:right="1060" w:bottom="980" w:left="1260" w:header="1148" w:footer="793" w:gutter="0"/>
          <w:pgNumType w:fmt="decimal"/>
          <w:cols w:space="720" w:num="1"/>
        </w:sectPr>
      </w:pPr>
    </w:p>
    <w:p>
      <w:pPr>
        <w:pStyle w:val="4"/>
        <w:spacing w:before="57"/>
        <w:ind w:left="840"/>
      </w:pPr>
      <w:r>
        <w:rPr>
          <w:color w:val="202020"/>
        </w:rPr>
        <w:t>（七）无正当理由拒不履行执行和解协议的;</w:t>
      </w:r>
    </w:p>
    <w:p>
      <w:pPr>
        <w:pStyle w:val="4"/>
        <w:spacing w:before="4"/>
        <w:rPr>
          <w:sz w:val="20"/>
        </w:rPr>
      </w:pPr>
    </w:p>
    <w:p>
      <w:pPr>
        <w:pStyle w:val="4"/>
        <w:spacing w:line="364" w:lineRule="auto"/>
        <w:ind w:left="220" w:right="842" w:firstLine="619"/>
      </w:pPr>
      <w:r>
        <w:rPr>
          <w:color w:val="202020"/>
        </w:rPr>
        <w:t>（八）违反忠实义务、勤勉义务，致使所在企业破产的;（九） 怠于履行清算义务，致使企业无法进行清算或无法全面清算的;</w:t>
      </w:r>
    </w:p>
    <w:p>
      <w:pPr>
        <w:pStyle w:val="4"/>
        <w:spacing w:before="73"/>
        <w:ind w:left="840"/>
      </w:pPr>
      <w:r>
        <w:rPr>
          <w:color w:val="202020"/>
        </w:rPr>
        <w:t>（十）债务人有其他不诚信行为的。</w:t>
      </w:r>
    </w:p>
    <w:p>
      <w:pPr>
        <w:pStyle w:val="4"/>
      </w:pPr>
    </w:p>
    <w:p>
      <w:pPr>
        <w:pStyle w:val="4"/>
        <w:spacing w:before="11"/>
        <w:rPr>
          <w:sz w:val="40"/>
        </w:rPr>
      </w:pPr>
    </w:p>
    <w:p>
      <w:pPr>
        <w:pStyle w:val="3"/>
        <w:ind w:left="421" w:right="425"/>
        <w:jc w:val="center"/>
      </w:pPr>
      <w:r>
        <w:rPr>
          <w:color w:val="0000FF"/>
        </w:rPr>
        <w:t>二、如何启动个人债务集中清理程序？</w:t>
      </w:r>
    </w:p>
    <w:p>
      <w:pPr>
        <w:pStyle w:val="4"/>
        <w:rPr>
          <w:b/>
        </w:rPr>
      </w:pPr>
    </w:p>
    <w:p>
      <w:pPr>
        <w:pStyle w:val="4"/>
        <w:spacing w:before="8"/>
        <w:rPr>
          <w:b/>
          <w:sz w:val="40"/>
        </w:rPr>
      </w:pPr>
    </w:p>
    <w:p>
      <w:pPr>
        <w:pStyle w:val="4"/>
        <w:spacing w:before="1" w:line="364" w:lineRule="auto"/>
        <w:ind w:left="220" w:right="842" w:firstLine="559"/>
        <w:jc w:val="both"/>
      </w:pPr>
      <w:r>
        <w:rPr>
          <w:color w:val="202020"/>
        </w:rPr>
        <w:t>债务人经强制执行后财产不足以清偿全部债务的，执行局征得债务人同意或经债务人申请，可以移送个人债务集中清理审查。个体工商户由其主要经营者提交申请。</w:t>
      </w:r>
    </w:p>
    <w:p>
      <w:pPr>
        <w:pStyle w:val="4"/>
      </w:pPr>
    </w:p>
    <w:p>
      <w:pPr>
        <w:pStyle w:val="4"/>
        <w:rPr>
          <w:sz w:val="26"/>
        </w:rPr>
      </w:pPr>
    </w:p>
    <w:p>
      <w:pPr>
        <w:pStyle w:val="3"/>
        <w:ind w:left="421" w:right="483"/>
        <w:jc w:val="center"/>
      </w:pPr>
      <w:r>
        <w:rPr>
          <w:color w:val="0000FF"/>
        </w:rPr>
        <w:t>三、申请个人债务集中清理程序需提交什么资料？</w:t>
      </w:r>
    </w:p>
    <w:p>
      <w:pPr>
        <w:pStyle w:val="4"/>
        <w:rPr>
          <w:b/>
        </w:rPr>
      </w:pPr>
    </w:p>
    <w:p>
      <w:pPr>
        <w:pStyle w:val="4"/>
        <w:spacing w:before="10"/>
        <w:rPr>
          <w:b/>
          <w:sz w:val="40"/>
        </w:rPr>
      </w:pPr>
    </w:p>
    <w:p>
      <w:pPr>
        <w:pStyle w:val="8"/>
        <w:numPr>
          <w:ilvl w:val="0"/>
          <w:numId w:val="14"/>
        </w:numPr>
        <w:tabs>
          <w:tab w:val="left" w:pos="1064"/>
        </w:tabs>
        <w:spacing w:before="1" w:after="0" w:line="240" w:lineRule="auto"/>
        <w:ind w:left="1063" w:right="0" w:hanging="284"/>
        <w:jc w:val="left"/>
        <w:rPr>
          <w:sz w:val="28"/>
        </w:rPr>
      </w:pPr>
      <w:r>
        <w:rPr>
          <w:color w:val="202020"/>
          <w:spacing w:val="-3"/>
          <w:sz w:val="28"/>
        </w:rPr>
        <w:t>个人债务集中清理申请书；</w:t>
      </w:r>
    </w:p>
    <w:p>
      <w:pPr>
        <w:pStyle w:val="4"/>
        <w:spacing w:before="4"/>
        <w:rPr>
          <w:sz w:val="20"/>
        </w:rPr>
      </w:pPr>
    </w:p>
    <w:p>
      <w:pPr>
        <w:pStyle w:val="8"/>
        <w:numPr>
          <w:ilvl w:val="0"/>
          <w:numId w:val="14"/>
        </w:numPr>
        <w:tabs>
          <w:tab w:val="left" w:pos="1064"/>
        </w:tabs>
        <w:spacing w:before="0" w:after="0" w:line="364" w:lineRule="auto"/>
        <w:ind w:left="220" w:right="844" w:firstLine="559"/>
        <w:jc w:val="left"/>
        <w:rPr>
          <w:sz w:val="28"/>
        </w:rPr>
      </w:pPr>
      <w:r>
        <w:rPr>
          <w:color w:val="202020"/>
          <w:sz w:val="28"/>
        </w:rPr>
        <w:t>申请人身份证复印件、在宜宾市内经常居住且在宜宾市内连续</w:t>
      </w:r>
      <w:r>
        <w:rPr>
          <w:color w:val="202020"/>
          <w:spacing w:val="-3"/>
          <w:sz w:val="28"/>
        </w:rPr>
        <w:t>缴纳三年社保或个人所得税的依据及申请人的送达地址确认书；</w:t>
      </w:r>
    </w:p>
    <w:p>
      <w:pPr>
        <w:pStyle w:val="8"/>
        <w:numPr>
          <w:ilvl w:val="0"/>
          <w:numId w:val="14"/>
        </w:numPr>
        <w:tabs>
          <w:tab w:val="left" w:pos="1064"/>
        </w:tabs>
        <w:spacing w:before="73" w:after="0" w:line="364" w:lineRule="auto"/>
        <w:ind w:left="220" w:right="844" w:firstLine="559"/>
        <w:jc w:val="left"/>
        <w:rPr>
          <w:sz w:val="28"/>
        </w:rPr>
      </w:pPr>
      <w:r>
        <w:rPr>
          <w:color w:val="202020"/>
          <w:sz w:val="28"/>
        </w:rPr>
        <w:t>申请人配偶、未成年子女及共同生活的成年家属的信息、送达</w:t>
      </w:r>
      <w:r>
        <w:rPr>
          <w:color w:val="202020"/>
          <w:spacing w:val="-3"/>
          <w:sz w:val="28"/>
        </w:rPr>
        <w:t>地址确认书；</w:t>
      </w:r>
    </w:p>
    <w:p>
      <w:pPr>
        <w:pStyle w:val="8"/>
        <w:numPr>
          <w:ilvl w:val="0"/>
          <w:numId w:val="14"/>
        </w:numPr>
        <w:tabs>
          <w:tab w:val="left" w:pos="1064"/>
        </w:tabs>
        <w:spacing w:before="74" w:after="0" w:line="240" w:lineRule="auto"/>
        <w:ind w:left="1063" w:right="0" w:hanging="284"/>
        <w:jc w:val="left"/>
        <w:rPr>
          <w:sz w:val="28"/>
        </w:rPr>
      </w:pPr>
      <w:r>
        <w:rPr>
          <w:color w:val="202020"/>
          <w:spacing w:val="-3"/>
          <w:sz w:val="28"/>
        </w:rPr>
        <w:t>申请保留的豁免财产清单；</w:t>
      </w:r>
    </w:p>
    <w:p>
      <w:pPr>
        <w:pStyle w:val="4"/>
        <w:spacing w:before="6"/>
        <w:rPr>
          <w:sz w:val="20"/>
        </w:rPr>
      </w:pPr>
    </w:p>
    <w:p>
      <w:pPr>
        <w:pStyle w:val="8"/>
        <w:numPr>
          <w:ilvl w:val="0"/>
          <w:numId w:val="14"/>
        </w:numPr>
        <w:tabs>
          <w:tab w:val="left" w:pos="1064"/>
        </w:tabs>
        <w:spacing w:before="0" w:after="0" w:line="362" w:lineRule="auto"/>
        <w:ind w:left="220" w:right="844" w:firstLine="559"/>
        <w:jc w:val="left"/>
        <w:rPr>
          <w:sz w:val="28"/>
        </w:rPr>
      </w:pPr>
      <w:r>
        <w:rPr>
          <w:color w:val="202020"/>
          <w:sz w:val="28"/>
        </w:rPr>
        <w:t>申请人本人、配偶、未成年人子女及其共同生活的近亲属财产</w:t>
      </w:r>
      <w:r>
        <w:rPr>
          <w:color w:val="202020"/>
          <w:spacing w:val="-3"/>
          <w:sz w:val="28"/>
        </w:rPr>
        <w:t>及收入报告；</w:t>
      </w:r>
    </w:p>
    <w:p>
      <w:pPr>
        <w:pStyle w:val="8"/>
        <w:numPr>
          <w:ilvl w:val="0"/>
          <w:numId w:val="14"/>
        </w:numPr>
        <w:tabs>
          <w:tab w:val="left" w:pos="1064"/>
        </w:tabs>
        <w:spacing w:before="81" w:after="0" w:line="240" w:lineRule="auto"/>
        <w:ind w:left="1063" w:right="0" w:hanging="284"/>
        <w:jc w:val="left"/>
        <w:rPr>
          <w:sz w:val="28"/>
        </w:rPr>
      </w:pPr>
      <w:r>
        <w:rPr>
          <w:color w:val="202020"/>
          <w:spacing w:val="-3"/>
          <w:sz w:val="28"/>
        </w:rPr>
        <w:t>申请人个人债务清单；</w:t>
      </w:r>
    </w:p>
    <w:p>
      <w:pPr>
        <w:pStyle w:val="4"/>
        <w:spacing w:before="4"/>
        <w:rPr>
          <w:sz w:val="20"/>
        </w:rPr>
      </w:pPr>
    </w:p>
    <w:p>
      <w:pPr>
        <w:pStyle w:val="8"/>
        <w:numPr>
          <w:ilvl w:val="0"/>
          <w:numId w:val="14"/>
        </w:numPr>
        <w:tabs>
          <w:tab w:val="left" w:pos="1064"/>
        </w:tabs>
        <w:spacing w:before="0" w:after="0" w:line="240" w:lineRule="auto"/>
        <w:ind w:left="1063" w:right="0" w:hanging="284"/>
        <w:jc w:val="left"/>
        <w:rPr>
          <w:sz w:val="28"/>
        </w:rPr>
      </w:pPr>
      <w:r>
        <w:rPr>
          <w:color w:val="202020"/>
          <w:spacing w:val="-3"/>
          <w:sz w:val="28"/>
        </w:rPr>
        <w:t>人民银行征信中心出具的申请人及配偶的信用报告；</w:t>
      </w:r>
    </w:p>
    <w:p>
      <w:pPr>
        <w:spacing w:after="0" w:line="240" w:lineRule="auto"/>
        <w:jc w:val="left"/>
        <w:rPr>
          <w:sz w:val="28"/>
        </w:rPr>
        <w:sectPr>
          <w:pgSz w:w="11910" w:h="16840"/>
          <w:pgMar w:top="1600" w:right="1060" w:bottom="980" w:left="1260" w:header="1148" w:footer="793" w:gutter="0"/>
          <w:pgNumType w:fmt="decimal"/>
          <w:cols w:space="720" w:num="1"/>
        </w:sectPr>
      </w:pPr>
    </w:p>
    <w:p>
      <w:pPr>
        <w:pStyle w:val="8"/>
        <w:numPr>
          <w:ilvl w:val="0"/>
          <w:numId w:val="14"/>
        </w:numPr>
        <w:tabs>
          <w:tab w:val="left" w:pos="1064"/>
        </w:tabs>
        <w:spacing w:before="57" w:after="0" w:line="240" w:lineRule="auto"/>
        <w:ind w:left="1063" w:right="0" w:hanging="284"/>
        <w:jc w:val="left"/>
        <w:rPr>
          <w:sz w:val="28"/>
        </w:rPr>
      </w:pPr>
      <w:r>
        <w:rPr>
          <w:color w:val="202020"/>
          <w:spacing w:val="-3"/>
          <w:sz w:val="28"/>
        </w:rPr>
        <w:t>申请人诚实信用承诺书；</w:t>
      </w:r>
    </w:p>
    <w:p>
      <w:pPr>
        <w:pStyle w:val="4"/>
        <w:spacing w:before="4"/>
        <w:rPr>
          <w:sz w:val="20"/>
        </w:rPr>
      </w:pPr>
    </w:p>
    <w:p>
      <w:pPr>
        <w:pStyle w:val="8"/>
        <w:numPr>
          <w:ilvl w:val="0"/>
          <w:numId w:val="14"/>
        </w:numPr>
        <w:tabs>
          <w:tab w:val="left" w:pos="1064"/>
        </w:tabs>
        <w:spacing w:before="0" w:after="0" w:line="364" w:lineRule="auto"/>
        <w:ind w:left="220" w:right="844" w:firstLine="559"/>
        <w:jc w:val="left"/>
        <w:rPr>
          <w:sz w:val="28"/>
        </w:rPr>
      </w:pPr>
      <w:r>
        <w:rPr>
          <w:color w:val="202020"/>
          <w:sz w:val="28"/>
        </w:rPr>
        <w:t>申请人配偶及共同生活的近亲属配合法院及管理人调查财产状</w:t>
      </w:r>
      <w:r>
        <w:rPr>
          <w:color w:val="202020"/>
          <w:spacing w:val="-3"/>
          <w:sz w:val="28"/>
        </w:rPr>
        <w:t>况的承诺书。”</w:t>
      </w:r>
    </w:p>
    <w:p>
      <w:pPr>
        <w:pStyle w:val="4"/>
      </w:pPr>
    </w:p>
    <w:p>
      <w:pPr>
        <w:pStyle w:val="4"/>
        <w:rPr>
          <w:sz w:val="26"/>
        </w:rPr>
      </w:pPr>
    </w:p>
    <w:p>
      <w:pPr>
        <w:pStyle w:val="3"/>
        <w:spacing w:before="1"/>
        <w:ind w:left="2937"/>
      </w:pPr>
      <w:r>
        <w:rPr>
          <w:color w:val="0000FF"/>
        </w:rPr>
        <w:t>四、如何避免逃废债行为</w:t>
      </w:r>
    </w:p>
    <w:p>
      <w:pPr>
        <w:pStyle w:val="4"/>
        <w:rPr>
          <w:b/>
        </w:rPr>
      </w:pPr>
    </w:p>
    <w:p>
      <w:pPr>
        <w:pStyle w:val="4"/>
        <w:spacing w:before="10"/>
        <w:rPr>
          <w:b/>
          <w:sz w:val="40"/>
        </w:rPr>
      </w:pPr>
    </w:p>
    <w:p>
      <w:pPr>
        <w:pStyle w:val="4"/>
        <w:spacing w:line="364" w:lineRule="auto"/>
        <w:ind w:left="220" w:right="842" w:firstLine="559"/>
        <w:jc w:val="both"/>
      </w:pPr>
      <w:r>
        <w:rPr>
          <w:color w:val="202020"/>
        </w:rPr>
        <w:t>诚实守信贯穿于个人债务集中清理程序始终，无论是审查阶段， 还是审理阶段，甚至在程序结束后，一旦发现债务人有逃废债行为的，均可重新恢复执行。</w:t>
      </w:r>
    </w:p>
    <w:p>
      <w:pPr>
        <w:pStyle w:val="4"/>
        <w:spacing w:before="73" w:line="364" w:lineRule="auto"/>
        <w:ind w:left="220" w:right="842" w:firstLine="559"/>
        <w:jc w:val="both"/>
      </w:pPr>
      <w:r>
        <w:rPr>
          <w:color w:val="202020"/>
        </w:rPr>
        <w:t>人民法院审查申请时，发现债务人有本规程第五条规定情形的应当裁定不予受理;已经受理尚未终结个人债务集中清理程序的，应当裁定驳回申请。</w:t>
      </w:r>
    </w:p>
    <w:p>
      <w:pPr>
        <w:pStyle w:val="4"/>
        <w:spacing w:before="73" w:line="364" w:lineRule="auto"/>
        <w:ind w:left="220" w:right="842" w:firstLine="559"/>
      </w:pPr>
      <w:r>
        <w:rPr>
          <w:color w:val="202020"/>
        </w:rPr>
        <w:t>管理人应当将债务人的免责考察情况在宜宾市级媒体公开，接受社会各界对其信用限制和财产情况的监督。</w:t>
      </w:r>
    </w:p>
    <w:p>
      <w:pPr>
        <w:pStyle w:val="4"/>
        <w:spacing w:before="74" w:line="364" w:lineRule="auto"/>
        <w:ind w:left="220" w:right="842" w:firstLine="559"/>
        <w:jc w:val="both"/>
      </w:pPr>
      <w:r>
        <w:rPr>
          <w:color w:val="202020"/>
        </w:rPr>
        <w:t>任何人发现债务人有违反本规程规定情形的，均可向债务清理管理人报告，债务清理管理人查证属实的，可以向人民法院申请恢复原生效法律文书的执行。</w:t>
      </w:r>
    </w:p>
    <w:p>
      <w:pPr>
        <w:pStyle w:val="4"/>
        <w:spacing w:before="73" w:line="364" w:lineRule="auto"/>
        <w:ind w:left="220" w:right="842" w:firstLine="559"/>
      </w:pPr>
      <w:r>
        <w:rPr>
          <w:color w:val="202020"/>
        </w:rPr>
        <w:t>债权人或者管理人发现债务人通过欺诈手段获得免除剩余债务的，可以申请人民法院撤销免责裁定，恢复执行。</w:t>
      </w:r>
    </w:p>
    <w:p>
      <w:pPr>
        <w:pStyle w:val="4"/>
        <w:spacing w:before="75" w:line="362" w:lineRule="auto"/>
        <w:ind w:left="220" w:right="842" w:firstLine="559"/>
      </w:pPr>
      <w:r>
        <w:rPr>
          <w:color w:val="202020"/>
        </w:rPr>
        <w:t>人民法院接到举报，查明债务人有上述情形的，可以依职权撤销免责裁定，恢复执行。</w:t>
      </w:r>
    </w:p>
    <w:p>
      <w:pPr>
        <w:pStyle w:val="4"/>
      </w:pPr>
    </w:p>
    <w:p>
      <w:pPr>
        <w:pStyle w:val="4"/>
        <w:spacing w:before="8"/>
        <w:rPr>
          <w:sz w:val="26"/>
        </w:rPr>
      </w:pPr>
    </w:p>
    <w:p>
      <w:pPr>
        <w:pStyle w:val="4"/>
        <w:ind w:left="780"/>
      </w:pPr>
      <w:r>
        <w:rPr>
          <w:color w:val="202020"/>
        </w:rPr>
        <w:t>来源：宜宾中院公众号</w:t>
      </w:r>
      <w:r>
        <w:rPr>
          <w:rFonts w:hint="eastAsia"/>
          <w:color w:val="202020"/>
        </w:rPr>
        <w:t>https://mp.weixin.qq.com/s/PE8ugjY8w0a2kyglQ-iUdQ</w:t>
      </w:r>
    </w:p>
    <w:p>
      <w:pPr>
        <w:spacing w:after="0"/>
        <w:sectPr>
          <w:pgSz w:w="11910" w:h="16840"/>
          <w:pgMar w:top="1600" w:right="1060" w:bottom="980" w:left="1260" w:header="1148" w:footer="793" w:gutter="0"/>
          <w:pgNumType w:fmt="decimal"/>
          <w:cols w:space="720" w:num="1"/>
        </w:sectPr>
      </w:pPr>
    </w:p>
    <w:p>
      <w:pPr>
        <w:pStyle w:val="4"/>
        <w:rPr>
          <w:sz w:val="20"/>
        </w:rPr>
      </w:pPr>
    </w:p>
    <w:p>
      <w:pPr>
        <w:pStyle w:val="4"/>
        <w:spacing w:before="7"/>
        <w:rPr>
          <w:sz w:val="19"/>
        </w:rPr>
      </w:pPr>
    </w:p>
    <w:p>
      <w:pPr>
        <w:pStyle w:val="3"/>
        <w:spacing w:before="61"/>
        <w:ind w:left="540"/>
      </w:pPr>
      <w:bookmarkStart w:id="42" w:name="七、十堰中院出台《十堰市破产重整、和解企业信用修复办法》"/>
      <w:bookmarkEnd w:id="42"/>
      <w:r>
        <w:rPr>
          <w:color w:val="202020"/>
        </w:rPr>
        <w:t>七、十堰中院出台《十堰市破产重整、和解企业信用修复办法》</w:t>
      </w:r>
    </w:p>
    <w:p>
      <w:pPr>
        <w:pStyle w:val="4"/>
        <w:rPr>
          <w:b/>
        </w:rPr>
      </w:pPr>
    </w:p>
    <w:p>
      <w:pPr>
        <w:pStyle w:val="4"/>
        <w:rPr>
          <w:b/>
          <w:sz w:val="36"/>
        </w:rPr>
      </w:pPr>
    </w:p>
    <w:p>
      <w:pPr>
        <w:pStyle w:val="4"/>
        <w:ind w:left="780"/>
      </w:pPr>
      <w:r>
        <w:rPr>
          <w:color w:val="202020"/>
        </w:rPr>
        <w:t>湖北高院 2022-06-07 17:00 发表于湖北</w:t>
      </w:r>
    </w:p>
    <w:p>
      <w:pPr>
        <w:pStyle w:val="4"/>
      </w:pPr>
    </w:p>
    <w:p>
      <w:pPr>
        <w:pStyle w:val="4"/>
        <w:spacing w:before="11"/>
        <w:rPr>
          <w:sz w:val="39"/>
        </w:rPr>
      </w:pPr>
    </w:p>
    <w:p>
      <w:pPr>
        <w:spacing w:before="1" w:line="364" w:lineRule="auto"/>
        <w:ind w:left="540" w:right="614" w:firstLine="592"/>
        <w:jc w:val="both"/>
        <w:rPr>
          <w:sz w:val="28"/>
        </w:rPr>
      </w:pPr>
      <w:r>
        <w:rPr>
          <w:color w:val="202020"/>
          <w:sz w:val="28"/>
        </w:rPr>
        <w:t>企业破产重整，但不良信用记录仍在，这成为不少企业重整再生的障碍。</w:t>
      </w:r>
      <w:r>
        <w:rPr>
          <w:b/>
          <w:color w:val="1F487C"/>
          <w:sz w:val="28"/>
        </w:rPr>
        <w:t>6月1日，十堰市中级人民法院联合税务、金融、工商、发改等部门出台《十堰市破产重整、和解企业信用修复办法》</w:t>
      </w:r>
      <w:r>
        <w:rPr>
          <w:color w:val="202020"/>
          <w:sz w:val="28"/>
        </w:rPr>
        <w:t>（以下简称</w:t>
      </w:r>
    </w:p>
    <w:p>
      <w:pPr>
        <w:pStyle w:val="4"/>
        <w:spacing w:line="364" w:lineRule="auto"/>
        <w:ind w:left="540" w:right="647"/>
      </w:pPr>
      <w:r>
        <w:rPr>
          <w:color w:val="202020"/>
        </w:rPr>
        <w:t>《办法》），最大限度提高重整企业生命力。这是该院推进法治化营商环境建设的又一举措。</w:t>
      </w:r>
    </w:p>
    <w:p>
      <w:pPr>
        <w:pStyle w:val="4"/>
        <w:spacing w:before="139" w:line="364" w:lineRule="auto"/>
        <w:ind w:left="540" w:right="626" w:firstLine="592"/>
      </w:pPr>
      <w:r>
        <w:rPr>
          <w:color w:val="202020"/>
        </w:rPr>
        <w:t>3</w:t>
      </w:r>
      <w:r>
        <w:rPr>
          <w:color w:val="202020"/>
          <w:spacing w:val="-3"/>
        </w:rPr>
        <w:t>月以来，市中级人民法院以湖北省优化营商环境先行区创建为契机，聚焦企业全生命周期中需要着力破解的痛点、难点、堵点问 题，秉持全力打造“省内最优、影响力强、方便复制”的改革创新理念，积极探索“健全企业重整期间信用修复机制”改革事项，联合多部门出台《办法》，</w:t>
      </w:r>
      <w:r>
        <w:rPr>
          <w:b/>
          <w:color w:val="1F487C"/>
          <w:spacing w:val="-1"/>
        </w:rPr>
        <w:t>率先在全省推行破产重整、和解企业信用修复</w:t>
      </w:r>
      <w:r>
        <w:rPr>
          <w:color w:val="202020"/>
        </w:rPr>
        <w:t>。</w:t>
      </w:r>
    </w:p>
    <w:p>
      <w:pPr>
        <w:spacing w:before="136" w:line="364" w:lineRule="auto"/>
        <w:ind w:left="540" w:right="614" w:firstLine="592"/>
        <w:jc w:val="left"/>
        <w:rPr>
          <w:sz w:val="28"/>
        </w:rPr>
      </w:pPr>
      <w:r>
        <w:rPr>
          <w:color w:val="202020"/>
          <w:spacing w:val="-3"/>
          <w:sz w:val="28"/>
        </w:rPr>
        <w:t>该《办法》旨在完善破产重整、和解程序配套措施，发挥破产重整、和解制度在市场主体拯救中的重要作用，鼓励企业重塑良好信 用、健康良性发展。</w:t>
      </w:r>
      <w:r>
        <w:rPr>
          <w:b/>
          <w:color w:val="1F487C"/>
          <w:sz w:val="28"/>
        </w:rPr>
        <w:t>主要围绕重整、和解企业的纳税信用修复、工商</w:t>
      </w:r>
      <w:r>
        <w:rPr>
          <w:b/>
          <w:color w:val="1F487C"/>
          <w:spacing w:val="-1"/>
          <w:w w:val="95"/>
          <w:sz w:val="28"/>
        </w:rPr>
        <w:t xml:space="preserve">信用修复、司法信用修复和金融信用异议处理等方面，细化完善相应  </w:t>
      </w:r>
      <w:r>
        <w:rPr>
          <w:b/>
          <w:color w:val="1F487C"/>
          <w:spacing w:val="-1"/>
          <w:sz w:val="28"/>
        </w:rPr>
        <w:t>工作措施，</w:t>
      </w:r>
      <w:r>
        <w:rPr>
          <w:color w:val="202020"/>
          <w:spacing w:val="-3"/>
          <w:sz w:val="28"/>
        </w:rPr>
        <w:t>加大对破产企业的支持力度，建立破产重整、和解案件信息动态共享机制，畅通信息共享渠道，形成工作合力，确保破产重 整、和解案件信用修复办法顺畅运行，有效提升困境企业挽救效率。</w:t>
      </w:r>
    </w:p>
    <w:p>
      <w:pPr>
        <w:spacing w:after="0" w:line="364" w:lineRule="auto"/>
        <w:jc w:val="left"/>
        <w:rPr>
          <w:sz w:val="28"/>
        </w:rPr>
        <w:sectPr>
          <w:pgSz w:w="11910" w:h="16840"/>
          <w:pgMar w:top="1600" w:right="1060" w:bottom="980" w:left="1260" w:header="1148" w:footer="793" w:gutter="0"/>
          <w:pgNumType w:fmt="decimal"/>
          <w:cols w:space="720" w:num="1"/>
        </w:sectPr>
      </w:pPr>
    </w:p>
    <w:p>
      <w:pPr>
        <w:pStyle w:val="2"/>
        <w:spacing w:before="58"/>
      </w:pPr>
      <w:r>
        <w:rPr>
          <w:color w:val="1F487C"/>
        </w:rPr>
        <w:t>《十堰市破产重整、和解企业信用修复办法》</w:t>
      </w:r>
    </w:p>
    <w:p>
      <w:pPr>
        <w:pStyle w:val="4"/>
        <w:rPr>
          <w:b/>
          <w:sz w:val="32"/>
        </w:rPr>
      </w:pPr>
    </w:p>
    <w:p>
      <w:pPr>
        <w:pStyle w:val="4"/>
        <w:spacing w:before="11"/>
        <w:rPr>
          <w:b/>
          <w:sz w:val="27"/>
        </w:rPr>
      </w:pPr>
    </w:p>
    <w:p>
      <w:pPr>
        <w:pStyle w:val="4"/>
        <w:spacing w:line="364" w:lineRule="auto"/>
        <w:ind w:left="220" w:right="935" w:firstLine="590"/>
        <w:jc w:val="both"/>
      </w:pPr>
      <w:r>
        <w:t>为进一步优化营商环境，完善破产重整、和解程序配套措施，发挥破产重整、和解制度在市场主体拯救中的重要作用，鼓励企业重塑良好信用、健康良性发展，根据《中华人民共和国企业破产法》《关于进一步做好“僵尸企业”及去产能企业债务处置工作的通知》《关于推动和保障管理人在破产程序中依法履职进一步优化营商环境的意见》等相关规定，结合十堰市企业破产重整、和解工作实际，特制定企业信用修复办法。</w:t>
      </w:r>
    </w:p>
    <w:p>
      <w:pPr>
        <w:pStyle w:val="4"/>
        <w:spacing w:before="2"/>
        <w:ind w:left="811"/>
      </w:pPr>
      <w:r>
        <w:t>一、纳税信用修复</w:t>
      </w:r>
    </w:p>
    <w:p>
      <w:pPr>
        <w:pStyle w:val="8"/>
        <w:numPr>
          <w:ilvl w:val="0"/>
          <w:numId w:val="15"/>
        </w:numPr>
        <w:tabs>
          <w:tab w:val="left" w:pos="1095"/>
        </w:tabs>
        <w:spacing w:before="188" w:after="0" w:line="364" w:lineRule="auto"/>
        <w:ind w:left="220" w:right="935" w:firstLine="590"/>
        <w:jc w:val="both"/>
        <w:rPr>
          <w:sz w:val="28"/>
        </w:rPr>
      </w:pPr>
      <w:r>
        <w:rPr>
          <w:spacing w:val="-3"/>
          <w:sz w:val="28"/>
        </w:rPr>
        <w:t>税务登记信息变更。实行“多证合一”后，企业在重整、和解过程中因引进战略投资人等原因确需办理税务登记信息变更的，税务机关应当依据市场监管部门工商信息及时办理信息变更，无需至市场监管部门变更信息的，税务机关应当根据管理人或重整、和解企业的申请变更相关信息。</w:t>
      </w:r>
    </w:p>
    <w:p>
      <w:pPr>
        <w:pStyle w:val="8"/>
        <w:numPr>
          <w:ilvl w:val="0"/>
          <w:numId w:val="15"/>
        </w:numPr>
        <w:tabs>
          <w:tab w:val="left" w:pos="1095"/>
        </w:tabs>
        <w:spacing w:before="2" w:after="0" w:line="364" w:lineRule="auto"/>
        <w:ind w:left="220" w:right="935" w:firstLine="590"/>
        <w:jc w:val="both"/>
        <w:rPr>
          <w:sz w:val="28"/>
        </w:rPr>
      </w:pPr>
      <w:r>
        <w:rPr>
          <w:spacing w:val="-3"/>
          <w:sz w:val="28"/>
        </w:rPr>
        <w:t>人民法院裁定批准重整、和解的，在破产企业重整、和解方案执行完毕后，重整、和解企业或管理人可以向主管税务机关提出纳税信用修复申请。管理人提出纳税信用修复申请的，应一并提交人民法院批准重整、和解方案的民事裁定书、指定管理人决定书、经办人授权委托书及身份证件等材料，并按要求填写纳税信用修复申请表。重整、和解企业提出纳税信用修复申请的，应一并提交人民法院确认重整、和解方案执行完毕的民事裁定书、经办人授权委托书及身份证件等材料，并按要求填写纳税信用修复申请表。</w:t>
      </w:r>
    </w:p>
    <w:p>
      <w:pPr>
        <w:pStyle w:val="8"/>
        <w:numPr>
          <w:ilvl w:val="0"/>
          <w:numId w:val="15"/>
        </w:numPr>
        <w:tabs>
          <w:tab w:val="left" w:pos="1095"/>
        </w:tabs>
        <w:spacing w:before="0" w:after="0" w:line="364" w:lineRule="auto"/>
        <w:ind w:left="220" w:right="935" w:firstLine="590"/>
        <w:jc w:val="left"/>
        <w:rPr>
          <w:sz w:val="28"/>
        </w:rPr>
      </w:pPr>
      <w:r>
        <w:rPr>
          <w:spacing w:val="-3"/>
          <w:sz w:val="28"/>
        </w:rPr>
        <w:t>主管税务机关收到管理人或重整、和解企业纳税信用修复申请后，应按规定逐级向国家税务总局湖北省税务局呈报审批，纳税信用</w:t>
      </w:r>
    </w:p>
    <w:p>
      <w:pPr>
        <w:spacing w:after="0" w:line="364" w:lineRule="auto"/>
        <w:jc w:val="left"/>
        <w:rPr>
          <w:sz w:val="28"/>
        </w:rPr>
        <w:sectPr>
          <w:footerReference r:id="rId14" w:type="default"/>
          <w:pgSz w:w="11910" w:h="16840"/>
          <w:pgMar w:top="1600" w:right="1060" w:bottom="980" w:left="1260" w:header="1148" w:footer="793" w:gutter="0"/>
          <w:pgNumType w:fmt="decimal" w:start="60"/>
          <w:cols w:space="720" w:num="1"/>
        </w:sectPr>
      </w:pPr>
    </w:p>
    <w:p>
      <w:pPr>
        <w:pStyle w:val="4"/>
        <w:spacing w:before="57" w:line="364" w:lineRule="auto"/>
        <w:ind w:left="220" w:right="967"/>
        <w:jc w:val="both"/>
      </w:pPr>
      <w:r>
        <w:t>修复工作按照“一案一审”原则，参照“新设企业”对企业纳税信用等级进行重新评定，并及时向管理人或重整、和解企业反馈信用修复的审批结果，应在30日内完成。同时，充分运用银行与税务机关之间的信用应用机制，将修复结果经债务人授权向相关银行开放查询。重整、和解企业因纳税信用等级较低而被限制发票申领的，管理人可以以重整、和解企业名义向税务机关申领发票，或由主管税务机关依申请为重整、和解企业代开发票；重整、和解方案执行完毕，人民法院作出重整、和解程序终结的裁定后，应重整、和解企业申请，税务机关可按规定对企业重新进行纳税信用评价。</w:t>
      </w:r>
    </w:p>
    <w:p>
      <w:pPr>
        <w:pStyle w:val="8"/>
        <w:numPr>
          <w:ilvl w:val="0"/>
          <w:numId w:val="15"/>
        </w:numPr>
        <w:tabs>
          <w:tab w:val="left" w:pos="1095"/>
        </w:tabs>
        <w:spacing w:before="0" w:after="0" w:line="364" w:lineRule="auto"/>
        <w:ind w:left="220" w:right="935" w:firstLine="590"/>
        <w:jc w:val="both"/>
        <w:rPr>
          <w:sz w:val="28"/>
        </w:rPr>
      </w:pPr>
      <w:r>
        <w:rPr>
          <w:spacing w:val="-3"/>
          <w:sz w:val="28"/>
        </w:rPr>
        <w:t>人民法院出具批准重整计划或认可和解协议的裁定书，税务机关依法受偿的，主管税务机关应依法受理失信企业停止公布失信信息</w:t>
      </w:r>
      <w:r>
        <w:rPr>
          <w:spacing w:val="-2"/>
          <w:sz w:val="28"/>
        </w:rPr>
        <w:t>的申请，</w:t>
      </w:r>
      <w:r>
        <w:rPr>
          <w:sz w:val="28"/>
        </w:rPr>
        <w:t>5</w:t>
      </w:r>
      <w:r>
        <w:rPr>
          <w:spacing w:val="-3"/>
          <w:sz w:val="28"/>
        </w:rPr>
        <w:t>个工作日内报省级税务机关办理。</w:t>
      </w:r>
    </w:p>
    <w:p>
      <w:pPr>
        <w:pStyle w:val="4"/>
        <w:spacing w:before="1" w:line="362" w:lineRule="auto"/>
        <w:ind w:left="220" w:right="935" w:firstLine="590"/>
      </w:pPr>
      <w:r>
        <w:t>省级税务机关作出准予提前停止公布的决定后，主管税务机关应将相关情况及时告知申请人、实施联合惩戒和管理的部门。</w:t>
      </w:r>
    </w:p>
    <w:p>
      <w:pPr>
        <w:pStyle w:val="4"/>
        <w:spacing w:before="9" w:line="364" w:lineRule="auto"/>
        <w:ind w:left="220" w:right="935" w:firstLine="590"/>
        <w:jc w:val="both"/>
      </w:pPr>
      <w:r>
        <w:t>重整、和解企业提前停止公布重大税收违法失信信息的，可以向主管税务机关申请修复“确定为重大税收违法失信主体”、“因上一年度纳税信用直接判为D级，本年度纳税信用保留为D级”信用评价指标。主管税务机关应当在自受理纳税信用修复申请之日起15个工作日内完成审核，并向纳税人反馈信用修复结果。</w:t>
      </w:r>
    </w:p>
    <w:p>
      <w:pPr>
        <w:pStyle w:val="4"/>
        <w:spacing w:before="2"/>
        <w:ind w:left="811"/>
      </w:pPr>
      <w:r>
        <w:rPr>
          <w:spacing w:val="-3"/>
        </w:rPr>
        <w:t>二、工商信用修复</w:t>
      </w:r>
    </w:p>
    <w:p>
      <w:pPr>
        <w:pStyle w:val="8"/>
        <w:numPr>
          <w:ilvl w:val="0"/>
          <w:numId w:val="16"/>
        </w:numPr>
        <w:tabs>
          <w:tab w:val="left" w:pos="1095"/>
        </w:tabs>
        <w:spacing w:before="188" w:after="0" w:line="364" w:lineRule="auto"/>
        <w:ind w:left="220" w:right="825" w:firstLine="590"/>
        <w:jc w:val="left"/>
        <w:rPr>
          <w:sz w:val="28"/>
        </w:rPr>
      </w:pPr>
      <w:r>
        <w:rPr>
          <w:spacing w:val="-3"/>
          <w:sz w:val="28"/>
        </w:rPr>
        <w:t>人民法院裁定批准重整、和解方案后，重整、和解企业或管理人持申请书、人民法院批准重整、和解方案裁定书向市发改委申请企业信用修复，市发改委应依法依规在</w:t>
      </w:r>
      <w:r>
        <w:rPr>
          <w:sz w:val="28"/>
        </w:rPr>
        <w:t>7</w:t>
      </w:r>
      <w:r>
        <w:rPr>
          <w:spacing w:val="-3"/>
          <w:sz w:val="28"/>
        </w:rPr>
        <w:t>个工作日内将重整、和解成功的企业通过信用中国</w:t>
      </w:r>
      <w:r>
        <w:rPr>
          <w:sz w:val="28"/>
        </w:rPr>
        <w:t>（</w:t>
      </w:r>
      <w:r>
        <w:rPr>
          <w:spacing w:val="-2"/>
          <w:sz w:val="28"/>
        </w:rPr>
        <w:t>湖北十堰</w:t>
      </w:r>
      <w:r>
        <w:rPr>
          <w:spacing w:val="-3"/>
          <w:sz w:val="28"/>
        </w:rPr>
        <w:t>）网站进行公示，及时将重整、和解企业信用修复信息与有关部门共享。</w:t>
      </w:r>
    </w:p>
    <w:p>
      <w:pPr>
        <w:spacing w:after="0" w:line="364" w:lineRule="auto"/>
        <w:jc w:val="left"/>
        <w:rPr>
          <w:sz w:val="28"/>
        </w:rPr>
        <w:sectPr>
          <w:pgSz w:w="11910" w:h="16840"/>
          <w:pgMar w:top="1600" w:right="1060" w:bottom="980" w:left="1260" w:header="1148" w:footer="793" w:gutter="0"/>
          <w:pgNumType w:fmt="decimal"/>
          <w:cols w:space="720" w:num="1"/>
        </w:sectPr>
      </w:pPr>
    </w:p>
    <w:p>
      <w:pPr>
        <w:pStyle w:val="8"/>
        <w:numPr>
          <w:ilvl w:val="0"/>
          <w:numId w:val="16"/>
        </w:numPr>
        <w:tabs>
          <w:tab w:val="left" w:pos="1095"/>
        </w:tabs>
        <w:spacing w:before="57" w:after="0" w:line="364" w:lineRule="auto"/>
        <w:ind w:left="220" w:right="935" w:firstLine="590"/>
        <w:jc w:val="both"/>
        <w:rPr>
          <w:sz w:val="28"/>
        </w:rPr>
      </w:pPr>
      <w:r>
        <w:rPr>
          <w:spacing w:val="-3"/>
          <w:sz w:val="28"/>
        </w:rPr>
        <w:t>人民法院裁定批准重整、和解方案后，重整、和解企业或管理人持申请书、人民法院批准重整、和解方案裁定书向市场监管部门申请企业信用修复的，市场监管部门应按照《市场监督管理信用修复管理办法》第十条规定，将符合条件的重整、和解企业移出经营异常名录或严重违法失信名单，依法解除相关管理措施，并通过国家企业信用信息公示系统等渠道公示，按规定及时将信用修复信息与有关部门共享，促进重整、和解企业的市场信用修复。</w:t>
      </w:r>
    </w:p>
    <w:p>
      <w:pPr>
        <w:pStyle w:val="4"/>
        <w:spacing w:line="358" w:lineRule="exact"/>
        <w:ind w:left="811"/>
      </w:pPr>
      <w:r>
        <w:t>三、司法信用修复</w:t>
      </w:r>
    </w:p>
    <w:p>
      <w:pPr>
        <w:pStyle w:val="8"/>
        <w:numPr>
          <w:ilvl w:val="0"/>
          <w:numId w:val="17"/>
        </w:numPr>
        <w:tabs>
          <w:tab w:val="left" w:pos="1095"/>
        </w:tabs>
        <w:spacing w:before="191" w:after="0" w:line="364" w:lineRule="auto"/>
        <w:ind w:left="220" w:right="935" w:firstLine="590"/>
        <w:jc w:val="both"/>
        <w:rPr>
          <w:sz w:val="28"/>
        </w:rPr>
      </w:pPr>
      <w:r>
        <w:rPr>
          <w:spacing w:val="-3"/>
          <w:sz w:val="28"/>
        </w:rPr>
        <w:t>进一步落实失信被执行人名单制度规定，本市两级人民法院执行部门根据《最高人民法院关于公布失信被执行人名单信息的若干规定》第十条第</w:t>
      </w:r>
      <w:r>
        <w:rPr>
          <w:sz w:val="28"/>
        </w:rPr>
        <w:t>（</w:t>
      </w:r>
      <w:r>
        <w:rPr>
          <w:spacing w:val="-3"/>
          <w:sz w:val="28"/>
        </w:rPr>
        <w:t>五</w:t>
      </w:r>
      <w:r>
        <w:rPr>
          <w:sz w:val="28"/>
        </w:rPr>
        <w:t>）</w:t>
      </w:r>
      <w:r>
        <w:rPr>
          <w:spacing w:val="-3"/>
          <w:sz w:val="28"/>
        </w:rPr>
        <w:t>项的规定，对于因破产程序，人民法院依法裁定对失信被执行人中止执行的，应当在三个工作日内删除或者屏蔽该企业失信信息。</w:t>
      </w:r>
    </w:p>
    <w:p>
      <w:pPr>
        <w:pStyle w:val="8"/>
        <w:numPr>
          <w:ilvl w:val="0"/>
          <w:numId w:val="17"/>
        </w:numPr>
        <w:tabs>
          <w:tab w:val="left" w:pos="1095"/>
        </w:tabs>
        <w:spacing w:before="0" w:after="0" w:line="364" w:lineRule="auto"/>
        <w:ind w:left="220" w:right="935" w:firstLine="590"/>
        <w:jc w:val="left"/>
        <w:rPr>
          <w:sz w:val="28"/>
        </w:rPr>
      </w:pPr>
      <w:r>
        <w:rPr>
          <w:spacing w:val="-3"/>
          <w:sz w:val="28"/>
        </w:rPr>
        <w:t>破产重整、和解企业法定代表人、主要负责人、影响债务履行的直接责任人员被限制高消费的，根据《最高人民法院关于限制被执行人高消费的若干规定》第八条规定，人民法院裁定受理破产申请 后，可以申请解除限制高消费令，人民法院审核后应立即做出处理。</w:t>
      </w:r>
    </w:p>
    <w:p>
      <w:pPr>
        <w:pStyle w:val="4"/>
        <w:spacing w:before="2"/>
        <w:ind w:left="811"/>
      </w:pPr>
      <w:r>
        <w:t>四、金融信用异议处理</w:t>
      </w:r>
    </w:p>
    <w:p>
      <w:pPr>
        <w:pStyle w:val="8"/>
        <w:numPr>
          <w:ilvl w:val="0"/>
          <w:numId w:val="18"/>
        </w:numPr>
        <w:tabs>
          <w:tab w:val="left" w:pos="1095"/>
        </w:tabs>
        <w:spacing w:before="189" w:after="0" w:line="364" w:lineRule="auto"/>
        <w:ind w:left="220" w:right="935" w:firstLine="590"/>
        <w:jc w:val="both"/>
        <w:rPr>
          <w:sz w:val="28"/>
        </w:rPr>
      </w:pPr>
      <w:r>
        <w:rPr>
          <w:spacing w:val="-3"/>
          <w:sz w:val="28"/>
        </w:rPr>
        <w:t>破产企业重整、和解方案被人民法院裁定批准后需要对其信用记录异议信息添加标注并进行异议处理的，管理人可凭人民法院作出的批准重整、和解方案裁定书向当地人民银行申请重整、和解企业信用记录异议处理。</w:t>
      </w:r>
    </w:p>
    <w:p>
      <w:pPr>
        <w:pStyle w:val="8"/>
        <w:numPr>
          <w:ilvl w:val="0"/>
          <w:numId w:val="18"/>
        </w:numPr>
        <w:tabs>
          <w:tab w:val="left" w:pos="1095"/>
        </w:tabs>
        <w:spacing w:before="3" w:after="0" w:line="364" w:lineRule="auto"/>
        <w:ind w:left="220" w:right="935" w:firstLine="590"/>
        <w:jc w:val="both"/>
        <w:rPr>
          <w:sz w:val="28"/>
        </w:rPr>
      </w:pPr>
      <w:r>
        <w:rPr>
          <w:spacing w:val="-3"/>
          <w:sz w:val="28"/>
        </w:rPr>
        <w:t>人民法院裁定批准重整、和解方案或重整、和解方案执行完毕后，重整、和解企业或管理人可以凭人民法院出具的相应裁定书，申请在金融信用信息基础数据库中添加“数据报送说明”，及时反映企</w:t>
      </w:r>
    </w:p>
    <w:p>
      <w:pPr>
        <w:spacing w:after="0" w:line="364" w:lineRule="auto"/>
        <w:jc w:val="both"/>
        <w:rPr>
          <w:sz w:val="28"/>
        </w:rPr>
        <w:sectPr>
          <w:pgSz w:w="11910" w:h="16840"/>
          <w:pgMar w:top="1600" w:right="1060" w:bottom="980" w:left="1260" w:header="1148" w:footer="793" w:gutter="0"/>
          <w:pgNumType w:fmt="decimal"/>
          <w:cols w:space="720" w:num="1"/>
        </w:sectPr>
      </w:pPr>
    </w:p>
    <w:p>
      <w:pPr>
        <w:pStyle w:val="4"/>
        <w:spacing w:before="57" w:line="364" w:lineRule="auto"/>
        <w:ind w:left="220" w:right="967"/>
      </w:pPr>
      <w:r>
        <w:rPr>
          <w:spacing w:val="-3"/>
        </w:rPr>
        <w:t>业重整情况。人民银行征信中心经核查后应当在</w:t>
      </w:r>
      <w:r>
        <w:t>20</w:t>
      </w:r>
      <w:r>
        <w:rPr>
          <w:spacing w:val="-3"/>
        </w:rPr>
        <w:t>个工作日内将重 整、和解情况“数据报送说明”在金融信用信息基础数据库中添加标注并回复。金融机构应积极认可破产重整、和解企业“数据报送说 明”的内容，对于重整、和解成功后企业的正常融资需求应予以支 持，不得以征信系统内原不良信用记录而一票否决。</w:t>
      </w:r>
    </w:p>
    <w:p>
      <w:pPr>
        <w:pStyle w:val="8"/>
        <w:numPr>
          <w:ilvl w:val="0"/>
          <w:numId w:val="18"/>
        </w:numPr>
        <w:tabs>
          <w:tab w:val="left" w:pos="1095"/>
        </w:tabs>
        <w:spacing w:before="0" w:after="0" w:line="364" w:lineRule="auto"/>
        <w:ind w:left="220" w:right="935" w:firstLine="590"/>
        <w:jc w:val="left"/>
        <w:rPr>
          <w:sz w:val="28"/>
        </w:rPr>
      </w:pPr>
      <w:r>
        <w:rPr>
          <w:spacing w:val="-3"/>
          <w:sz w:val="28"/>
        </w:rPr>
        <w:t>债权金融机构应在破产程序中受偿后</w:t>
      </w:r>
      <w:r>
        <w:rPr>
          <w:sz w:val="28"/>
        </w:rPr>
        <w:t>10</w:t>
      </w:r>
      <w:r>
        <w:rPr>
          <w:spacing w:val="-3"/>
          <w:sz w:val="28"/>
        </w:rPr>
        <w:t>日内重新上报“数据报送说明”，将企业信贷记录展示为结清状态。</w:t>
      </w:r>
    </w:p>
    <w:p>
      <w:pPr>
        <w:pStyle w:val="4"/>
        <w:spacing w:before="3"/>
        <w:ind w:left="811"/>
      </w:pPr>
      <w:r>
        <w:t>五、建立破产重整、和解案件信息动态共享机制</w:t>
      </w:r>
    </w:p>
    <w:p>
      <w:pPr>
        <w:pStyle w:val="4"/>
        <w:spacing w:before="191" w:line="364" w:lineRule="auto"/>
        <w:ind w:left="220" w:right="935" w:firstLine="590"/>
        <w:jc w:val="both"/>
      </w:pPr>
      <w:r>
        <w:t>各部门应联合建立破产重整、和解企业信息动态共享机制，畅通信息共享渠道，协助配合，采取有效措施，加快信息交换传递和数据共享机制建设。同时指定专人作为破产重整、和解企业信用信息动态共享机制的信息联络员，及时沟通协调解决信用修复过程中出现的问题。</w:t>
      </w:r>
    </w:p>
    <w:p>
      <w:pPr>
        <w:pStyle w:val="4"/>
        <w:ind w:left="811"/>
      </w:pPr>
      <w:r>
        <w:t>六、其他事宜</w:t>
      </w:r>
    </w:p>
    <w:p>
      <w:pPr>
        <w:pStyle w:val="4"/>
        <w:spacing w:before="191" w:line="364" w:lineRule="auto"/>
        <w:ind w:left="220" w:right="935" w:firstLine="590"/>
      </w:pPr>
      <w:r>
        <w:t>各部门应积极落实本办法，密切协作，主动作为，加快推进各项措施进程，确保破产重整、和解企业信用修复办法顺畅运行。</w:t>
      </w:r>
    </w:p>
    <w:p>
      <w:pPr>
        <w:pStyle w:val="4"/>
        <w:spacing w:before="1"/>
        <w:ind w:left="811"/>
      </w:pPr>
      <w:r>
        <w:t>本办法实施过程中的具体操作问题，由各部门另行协商解决。</w:t>
      </w:r>
    </w:p>
    <w:p>
      <w:pPr>
        <w:pStyle w:val="4"/>
      </w:pPr>
    </w:p>
    <w:p>
      <w:pPr>
        <w:pStyle w:val="4"/>
      </w:pPr>
    </w:p>
    <w:p>
      <w:pPr>
        <w:pStyle w:val="4"/>
        <w:spacing w:before="5"/>
        <w:rPr>
          <w:sz w:val="25"/>
        </w:rPr>
      </w:pPr>
    </w:p>
    <w:p>
      <w:pPr>
        <w:pStyle w:val="4"/>
        <w:spacing w:line="360" w:lineRule="auto"/>
        <w:ind w:left="220" w:right="7406"/>
      </w:pPr>
      <w:r>
        <w:t>来源：十堰中院编辑：李菲</w:t>
      </w:r>
    </w:p>
    <w:p>
      <w:pPr>
        <w:pStyle w:val="4"/>
        <w:spacing w:line="360" w:lineRule="auto"/>
        <w:ind w:left="220"/>
      </w:pPr>
      <w:r>
        <w:t>核稿：邓昭玲</w:t>
      </w:r>
    </w:p>
    <w:p>
      <w:pPr>
        <w:pStyle w:val="4"/>
        <w:spacing w:line="360" w:lineRule="auto"/>
        <w:ind w:left="220"/>
      </w:pPr>
      <w:r>
        <w:rPr>
          <w:rFonts w:hint="eastAsia"/>
        </w:rPr>
        <w:t>https://mp.weixin.qq.com/s/KYzoll7unWLB8E7VxGQ5mw</w:t>
      </w:r>
    </w:p>
    <w:p>
      <w:pPr>
        <w:spacing w:after="0" w:line="360" w:lineRule="auto"/>
        <w:sectPr>
          <w:pgSz w:w="11910" w:h="16840"/>
          <w:pgMar w:top="1600" w:right="1060" w:bottom="980" w:left="1260" w:header="1148" w:footer="793" w:gutter="0"/>
          <w:pgNumType w:fmt="decimal"/>
          <w:cols w:space="720" w:num="1"/>
        </w:sectPr>
      </w:pPr>
    </w:p>
    <w:p>
      <w:pPr>
        <w:pStyle w:val="4"/>
        <w:spacing w:before="1"/>
        <w:rPr>
          <w:sz w:val="16"/>
        </w:rPr>
      </w:pPr>
    </w:p>
    <w:p>
      <w:pPr>
        <w:pStyle w:val="3"/>
        <w:spacing w:before="62"/>
      </w:pPr>
      <w:r>
        <w:rPr>
          <w:color w:val="202020"/>
        </w:rPr>
        <w:t>八、*ST方科被债权人申请重整，已公告专项自查报告</w:t>
      </w:r>
    </w:p>
    <w:p>
      <w:pPr>
        <w:pStyle w:val="4"/>
        <w:rPr>
          <w:b/>
        </w:rPr>
      </w:pPr>
    </w:p>
    <w:p>
      <w:pPr>
        <w:pStyle w:val="4"/>
        <w:rPr>
          <w:b/>
          <w:sz w:val="26"/>
        </w:rPr>
      </w:pPr>
    </w:p>
    <w:p>
      <w:pPr>
        <w:pStyle w:val="4"/>
        <w:spacing w:before="1" w:line="364" w:lineRule="auto"/>
        <w:ind w:left="540" w:right="748" w:firstLine="592"/>
        <w:jc w:val="both"/>
      </w:pPr>
      <w:r>
        <w:rPr>
          <w:color w:val="202020"/>
        </w:rPr>
        <w:t>2022年6月2日，方正科技集团股份有限公司（以下简称“公司”）收到北京市第一中级人民法院（以下简称“北京一中院”） 送达的《通知书》，债权人北京方正数码有限公司以公司不能清偿到期债务，且资产不足以清偿全部债务，但具有重整价值及重整可能为由，于2022年6月2日向北京一中院申请对公司进行重整。</w:t>
      </w:r>
    </w:p>
    <w:p>
      <w:pPr>
        <w:pStyle w:val="4"/>
        <w:spacing w:line="364" w:lineRule="auto"/>
        <w:ind w:left="540" w:right="748" w:firstLine="592"/>
        <w:jc w:val="both"/>
      </w:pPr>
      <w:r>
        <w:rPr>
          <w:color w:val="202020"/>
        </w:rPr>
        <w:t>截至本报告披露日（2022年6月11日），公司尚未收到法院对申请人申请公司重整事项的受理文书， 申请人的申请是否被法院受理，公司是否进入重整程序尚存在重大不确定性。根据《上市规则》《上海证券交易所上市公司自律监管指引第 13 号——破产 重整等事项》的相关规定，公司对控股股东、实际控制人及其他关联方资金占用、 对外担保、承诺履行情况等事项进行了全面自查。</w:t>
      </w:r>
    </w:p>
    <w:p>
      <w:pPr>
        <w:pStyle w:val="4"/>
        <w:spacing w:before="11"/>
        <w:rPr>
          <w:sz w:val="41"/>
        </w:rPr>
      </w:pPr>
    </w:p>
    <w:p>
      <w:pPr>
        <w:pStyle w:val="4"/>
        <w:spacing w:line="364" w:lineRule="auto"/>
        <w:ind w:left="540" w:right="748" w:firstLine="592"/>
        <w:jc w:val="both"/>
      </w:pPr>
      <w:r>
        <w:rPr>
          <w:color w:val="202020"/>
        </w:rPr>
        <w:t>来源：上海证券交易所2022年6月11日 《方正科技集团股份有限公司关于被债权人申请重整事项的专项自查报告》</w:t>
      </w:r>
    </w:p>
    <w:p>
      <w:pPr>
        <w:keepNext w:val="0"/>
        <w:keepLines w:val="0"/>
        <w:pageBreakBefore w:val="0"/>
        <w:widowControl w:val="0"/>
        <w:kinsoku/>
        <w:wordWrap/>
        <w:overflowPunct/>
        <w:topLinePunct w:val="0"/>
        <w:autoSpaceDE w:val="0"/>
        <w:autoSpaceDN w:val="0"/>
        <w:bidi w:val="0"/>
        <w:adjustRightInd/>
        <w:snapToGrid/>
        <w:spacing w:after="0" w:line="360" w:lineRule="auto"/>
        <w:ind w:firstLine="560" w:firstLineChars="200"/>
        <w:jc w:val="both"/>
        <w:textAlignment w:val="auto"/>
        <w:rPr>
          <w:rFonts w:ascii="仿宋" w:hAnsi="仿宋" w:eastAsia="仿宋" w:cs="仿宋"/>
          <w:color w:val="202020"/>
          <w:sz w:val="28"/>
          <w:szCs w:val="28"/>
          <w:lang w:val="zh-CN" w:eastAsia="zh-CN" w:bidi="zh-CN"/>
        </w:rPr>
        <w:sectPr>
          <w:pgSz w:w="11910" w:h="16840"/>
          <w:pgMar w:top="1600" w:right="1060" w:bottom="980" w:left="1260" w:header="1148" w:footer="793" w:gutter="0"/>
          <w:pgNumType w:fmt="decimal"/>
          <w:cols w:space="720" w:num="1"/>
        </w:sectPr>
      </w:pPr>
      <w:r>
        <w:rPr>
          <w:rFonts w:hint="eastAsia" w:ascii="仿宋" w:hAnsi="仿宋" w:eastAsia="仿宋" w:cs="仿宋"/>
          <w:color w:val="202020"/>
          <w:sz w:val="28"/>
          <w:szCs w:val="28"/>
          <w:lang w:val="zh-CN" w:eastAsia="zh-CN" w:bidi="zh-CN"/>
        </w:rPr>
        <w:t>http://static.sse.com.cn/disclosure/listedinfo/announcement/c/new/2022-06-11/600601_20220611_1_5C2xvVYf.pdf</w:t>
      </w:r>
    </w:p>
    <w:p>
      <w:pPr>
        <w:pStyle w:val="4"/>
        <w:rPr>
          <w:sz w:val="20"/>
        </w:rPr>
      </w:pPr>
    </w:p>
    <w:p>
      <w:pPr>
        <w:pStyle w:val="4"/>
        <w:spacing w:before="3"/>
        <w:rPr>
          <w:sz w:val="18"/>
        </w:rPr>
      </w:pPr>
    </w:p>
    <w:p>
      <w:pPr>
        <w:pStyle w:val="3"/>
        <w:spacing w:before="61"/>
        <w:ind w:left="540"/>
      </w:pPr>
      <w:r>
        <w:rPr>
          <w:color w:val="202020"/>
        </w:rPr>
        <w:t>九、李曙光：个人破产立法的中国特色</w:t>
      </w:r>
    </w:p>
    <w:p>
      <w:pPr>
        <w:pStyle w:val="4"/>
        <w:rPr>
          <w:b/>
        </w:rPr>
      </w:pPr>
    </w:p>
    <w:p>
      <w:pPr>
        <w:pStyle w:val="4"/>
        <w:spacing w:before="7"/>
        <w:rPr>
          <w:b/>
          <w:sz w:val="30"/>
        </w:rPr>
      </w:pPr>
    </w:p>
    <w:p>
      <w:pPr>
        <w:pStyle w:val="4"/>
        <w:spacing w:line="364" w:lineRule="auto"/>
        <w:ind w:left="220" w:right="575" w:firstLine="607"/>
      </w:pPr>
      <w:r>
        <w:rPr>
          <w:color w:val="202020"/>
        </w:rPr>
        <w:t>【作者】李曙光，中国政法大学教授、博导、中国政法大学破产法与企业重组研究中心主任。</w:t>
      </w:r>
    </w:p>
    <w:p>
      <w:pPr>
        <w:pStyle w:val="4"/>
      </w:pPr>
    </w:p>
    <w:p>
      <w:pPr>
        <w:pStyle w:val="4"/>
        <w:spacing w:before="204"/>
        <w:ind w:left="828"/>
      </w:pPr>
      <w:r>
        <w:rPr>
          <w:color w:val="202020"/>
        </w:rPr>
        <w:t>【来源】《民主与法制》周刊 2022年第22期，6月20日出版</w:t>
      </w:r>
    </w:p>
    <w:p>
      <w:pPr>
        <w:pStyle w:val="4"/>
        <w:rPr>
          <w:sz w:val="20"/>
        </w:rPr>
      </w:pPr>
    </w:p>
    <w:p>
      <w:pPr>
        <w:pStyle w:val="4"/>
        <w:spacing w:before="3"/>
        <w:rPr>
          <w:sz w:val="19"/>
        </w:rPr>
      </w:pPr>
      <w:r>
        <w:drawing>
          <wp:anchor distT="0" distB="0" distL="0" distR="0" simplePos="0" relativeHeight="251660288" behindDoc="0" locked="0" layoutInCell="1" allowOverlap="1">
            <wp:simplePos x="0" y="0"/>
            <wp:positionH relativeFrom="page">
              <wp:posOffset>1415415</wp:posOffset>
            </wp:positionH>
            <wp:positionV relativeFrom="paragraph">
              <wp:posOffset>181610</wp:posOffset>
            </wp:positionV>
            <wp:extent cx="4586605" cy="5923915"/>
            <wp:effectExtent l="0" t="0" r="0" b="0"/>
            <wp:wrapTopAndBottom/>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jpeg"/>
                    <pic:cNvPicPr>
                      <a:picLocks noChangeAspect="1"/>
                    </pic:cNvPicPr>
                  </pic:nvPicPr>
                  <pic:blipFill>
                    <a:blip r:embed="rId34" cstate="print"/>
                    <a:stretch>
                      <a:fillRect/>
                    </a:stretch>
                  </pic:blipFill>
                  <pic:spPr>
                    <a:xfrm>
                      <a:off x="0" y="0"/>
                      <a:ext cx="4586697" cy="5924169"/>
                    </a:xfrm>
                    <a:prstGeom prst="rect">
                      <a:avLst/>
                    </a:prstGeom>
                  </pic:spPr>
                </pic:pic>
              </a:graphicData>
            </a:graphic>
          </wp:anchor>
        </w:drawing>
      </w:r>
    </w:p>
    <w:p>
      <w:pPr>
        <w:spacing w:after="0"/>
        <w:rPr>
          <w:sz w:val="19"/>
        </w:rPr>
        <w:sectPr>
          <w:pgSz w:w="11910" w:h="16840"/>
          <w:pgMar w:top="1600" w:right="1060" w:bottom="980" w:left="1260" w:header="1148" w:footer="793" w:gutter="0"/>
          <w:pgNumType w:fmt="decimal"/>
          <w:cols w:space="720" w:num="1"/>
        </w:sectPr>
      </w:pPr>
    </w:p>
    <w:p>
      <w:pPr>
        <w:pStyle w:val="4"/>
        <w:spacing w:before="7"/>
        <w:rPr>
          <w:sz w:val="22"/>
        </w:rPr>
      </w:pPr>
    </w:p>
    <w:p>
      <w:pPr>
        <w:pStyle w:val="2"/>
        <w:ind w:left="2795" w:right="2999"/>
        <w:jc w:val="center"/>
        <w:rPr>
          <w:rFonts w:hint="eastAsia" w:ascii="黑体" w:eastAsia="黑体"/>
        </w:rPr>
      </w:pPr>
      <w:r>
        <w:rPr>
          <w:rFonts w:hint="eastAsia" w:ascii="黑体" w:eastAsia="黑体"/>
          <w:color w:val="202020"/>
        </w:rPr>
        <w:t>个人破产立法的中国特色</w:t>
      </w:r>
    </w:p>
    <w:p>
      <w:pPr>
        <w:pStyle w:val="4"/>
        <w:rPr>
          <w:rFonts w:ascii="黑体"/>
          <w:b/>
          <w:sz w:val="32"/>
        </w:rPr>
      </w:pPr>
    </w:p>
    <w:p>
      <w:pPr>
        <w:pStyle w:val="4"/>
        <w:rPr>
          <w:rFonts w:ascii="黑体"/>
          <w:b/>
          <w:sz w:val="39"/>
        </w:rPr>
      </w:pPr>
    </w:p>
    <w:p>
      <w:pPr>
        <w:pStyle w:val="4"/>
        <w:spacing w:line="364" w:lineRule="auto"/>
        <w:ind w:left="220" w:right="597" w:firstLine="559"/>
        <w:jc w:val="both"/>
      </w:pPr>
      <w:r>
        <w:rPr>
          <w:color w:val="202020"/>
        </w:rPr>
        <w:t>我国的个人破产立法可以追溯到2003年，这一年全国人大财经委员会成立了新破产法起草小组，着手起草一部符合中国社会主义市场经济发展与改革开放需要的破产法，企业破产法草案稿中包含个人破产的内容，即破产法的适用主体范围包括“合伙企业及其合伙人、个人独资企业及其出资人”。然而，由于担心当时的社会经济条件不成熟以及社会公众对个人破产文化的陌生，2006年通过的企业破产法最终删去了个人破产的内容。</w:t>
      </w:r>
    </w:p>
    <w:p>
      <w:pPr>
        <w:pStyle w:val="4"/>
        <w:spacing w:before="59" w:line="364" w:lineRule="auto"/>
        <w:ind w:left="220" w:right="600" w:firstLine="559"/>
        <w:jc w:val="both"/>
      </w:pPr>
      <w:r>
        <w:rPr>
          <w:color w:val="202020"/>
        </w:rPr>
        <w:t>在这之后，全国人大财经委员会与相关部门一直在积极研究起草个人破产法，并于2006年年底，派出一个代表团赴美国、英国、德国考察，了解这些国家个人破产的有关情况。2020年12月，广东省深圳市通过了我国第一部地方性的个人破产条例。个人破产制度再次进入社会公众的视野。</w:t>
      </w:r>
    </w:p>
    <w:p>
      <w:pPr>
        <w:pStyle w:val="4"/>
        <w:spacing w:before="57" w:line="364" w:lineRule="auto"/>
        <w:ind w:left="220" w:right="600" w:firstLine="420"/>
        <w:jc w:val="both"/>
      </w:pPr>
      <w:r>
        <w:rPr>
          <w:color w:val="202020"/>
        </w:rPr>
        <w:t>2021年，企业破产法（修改）被列入全国人大常委会2021年度立法工作计划初次审议项目，但是未付诸实施。2022年5月6日，全国人大常委会公布2022年度立法工作计划，企业破产法修改案再次被列入年内审议项目，是否将个人破产制度纳入其中、个人破产制度该如何设计成为法学法律界讨论的热点。</w:t>
      </w:r>
    </w:p>
    <w:p>
      <w:pPr>
        <w:pStyle w:val="4"/>
        <w:spacing w:before="60" w:line="364" w:lineRule="auto"/>
        <w:ind w:left="220" w:right="600" w:firstLine="559"/>
        <w:jc w:val="both"/>
      </w:pPr>
      <w:r>
        <w:rPr>
          <w:color w:val="202020"/>
        </w:rPr>
        <w:t>笔者认为，我国建立个人破产制度十分必要，而且我国个人破产法的立法设计既要学习国际上的先进经验，也要考虑中国的国情，解决中国经济社会发展中的一些突出问题。具体来说，我国个人破产立法的制度设计要重点解决以下特色问题：</w:t>
      </w:r>
    </w:p>
    <w:p>
      <w:pPr>
        <w:pStyle w:val="8"/>
        <w:numPr>
          <w:ilvl w:val="0"/>
          <w:numId w:val="19"/>
        </w:numPr>
        <w:tabs>
          <w:tab w:val="left" w:pos="1064"/>
        </w:tabs>
        <w:spacing w:before="58" w:after="0" w:line="240" w:lineRule="auto"/>
        <w:ind w:left="1063" w:right="0" w:hanging="284"/>
        <w:jc w:val="left"/>
        <w:rPr>
          <w:sz w:val="28"/>
        </w:rPr>
      </w:pPr>
      <w:r>
        <w:rPr>
          <w:color w:val="202020"/>
          <w:sz w:val="28"/>
        </w:rPr>
        <w:t>我国个人破产法的制度设计要有利于解决生活绝对贫困者的负债</w:t>
      </w:r>
    </w:p>
    <w:p>
      <w:pPr>
        <w:spacing w:after="0" w:line="240" w:lineRule="auto"/>
        <w:jc w:val="left"/>
        <w:rPr>
          <w:sz w:val="28"/>
        </w:rPr>
        <w:sectPr>
          <w:pgSz w:w="11910" w:h="16840"/>
          <w:pgMar w:top="1600" w:right="1060" w:bottom="980" w:left="1260" w:header="1148" w:footer="793" w:gutter="0"/>
          <w:pgNumType w:fmt="decimal"/>
          <w:cols w:space="720" w:num="1"/>
        </w:sectPr>
      </w:pPr>
    </w:p>
    <w:p>
      <w:pPr>
        <w:pStyle w:val="4"/>
        <w:spacing w:before="57" w:line="364" w:lineRule="auto"/>
        <w:ind w:left="220" w:right="599"/>
        <w:jc w:val="both"/>
      </w:pPr>
      <w:r>
        <w:rPr>
          <w:color w:val="202020"/>
        </w:rPr>
        <w:t>压力问题。我国个人破产制度不仅是市场经济的一个基础性法律，还有可能成为解决中国贫富差距的一部重要法律，成为共同富裕的一个底层制度。一则中国月收入一千元以下的低收入者有5亿余人，而且目前还有一千多万未能清偿债务的债务人；二则两年多疫情，许多个体工商户及小微企业倒闭，也会出现一批个人破产者。个人破产法是解决这些诚实而不幸的债务人的一种重要工具。因此，个人破产法的立法设计，就要重点考虑让那些“诚实而不幸”的低收入债务人比较便利地申请破产清算。</w:t>
      </w:r>
    </w:p>
    <w:p>
      <w:pPr>
        <w:pStyle w:val="8"/>
        <w:numPr>
          <w:ilvl w:val="0"/>
          <w:numId w:val="19"/>
        </w:numPr>
        <w:tabs>
          <w:tab w:val="left" w:pos="1064"/>
        </w:tabs>
        <w:spacing w:before="56" w:after="0" w:line="364" w:lineRule="auto"/>
        <w:ind w:left="220" w:right="599" w:firstLine="559"/>
        <w:jc w:val="both"/>
        <w:rPr>
          <w:sz w:val="28"/>
        </w:rPr>
      </w:pPr>
      <w:r>
        <w:rPr>
          <w:color w:val="202020"/>
          <w:sz w:val="28"/>
        </w:rPr>
        <w:t>我国个人破产制度要有利于解决小微企业的经营者面临的经营性负债及生存压力问题，营造一个鼓励“大众创业，万众创新”的营商环境。为实现此一目标，应在立法中考虑降低小微企业主申请破产的门槛</w:t>
      </w:r>
      <w:r>
        <w:rPr>
          <w:color w:val="202020"/>
          <w:spacing w:val="-3"/>
          <w:sz w:val="28"/>
        </w:rPr>
        <w:t>标准，同时鼓励小微企业经营者尽量与债权人达成重整协议。</w:t>
      </w:r>
    </w:p>
    <w:p>
      <w:pPr>
        <w:pStyle w:val="8"/>
        <w:numPr>
          <w:ilvl w:val="0"/>
          <w:numId w:val="19"/>
        </w:numPr>
        <w:tabs>
          <w:tab w:val="left" w:pos="1064"/>
        </w:tabs>
        <w:spacing w:before="60" w:after="0" w:line="364" w:lineRule="auto"/>
        <w:ind w:left="220" w:right="599" w:firstLine="559"/>
        <w:jc w:val="both"/>
        <w:rPr>
          <w:sz w:val="28"/>
        </w:rPr>
      </w:pPr>
      <w:r>
        <w:rPr>
          <w:color w:val="202020"/>
          <w:sz w:val="28"/>
        </w:rPr>
        <w:t>我国个人破产立法要有利于解决中国城乡一体化，城乡二元结构问题，“城里人”与“乡下人”在破产法中应该平等。因此，享有宅基</w:t>
      </w:r>
      <w:r>
        <w:rPr>
          <w:color w:val="202020"/>
          <w:spacing w:val="-3"/>
          <w:sz w:val="28"/>
        </w:rPr>
        <w:t>地所有权与承包地经营权的农户破产问题应该加以考虑。</w:t>
      </w:r>
    </w:p>
    <w:p>
      <w:pPr>
        <w:pStyle w:val="8"/>
        <w:numPr>
          <w:ilvl w:val="0"/>
          <w:numId w:val="19"/>
        </w:numPr>
        <w:tabs>
          <w:tab w:val="left" w:pos="1064"/>
        </w:tabs>
        <w:spacing w:before="61" w:after="0" w:line="364" w:lineRule="auto"/>
        <w:ind w:left="220" w:right="600" w:firstLine="559"/>
        <w:jc w:val="both"/>
        <w:rPr>
          <w:sz w:val="28"/>
        </w:rPr>
      </w:pPr>
      <w:r>
        <w:rPr>
          <w:color w:val="202020"/>
          <w:sz w:val="28"/>
        </w:rPr>
        <w:t>我国个人破产立法要有利于解决破产耻感文化与“面子”问题。中国有数千年文化传统，视破产为不吉利的事情，又有“父债子还”的家族文化，一般在遇到不能清偿到期负债时，想尽各种办法去拖延或避免进入破产程序。因此，我国的个人破产立法要考虑债务人破产申请时的特别辅导程序，给符合条件的债务人正确的破产观念使其了解宣布破产程序的好处。考虑到这种事务的繁杂性与债务人的经济状况，建议设立公职管理人去帮助破产债务人申请破产。同时，应建构一个好的复权</w:t>
      </w:r>
      <w:r>
        <w:rPr>
          <w:color w:val="202020"/>
          <w:spacing w:val="-3"/>
          <w:sz w:val="28"/>
        </w:rPr>
        <w:t>与个人信用修复制度。</w:t>
      </w:r>
    </w:p>
    <w:p>
      <w:pPr>
        <w:pStyle w:val="8"/>
        <w:numPr>
          <w:ilvl w:val="0"/>
          <w:numId w:val="19"/>
        </w:numPr>
        <w:tabs>
          <w:tab w:val="left" w:pos="1064"/>
        </w:tabs>
        <w:spacing w:before="56" w:after="0" w:line="364" w:lineRule="auto"/>
        <w:ind w:left="220" w:right="599" w:firstLine="559"/>
        <w:jc w:val="left"/>
        <w:rPr>
          <w:sz w:val="28"/>
        </w:rPr>
      </w:pPr>
      <w:r>
        <w:rPr>
          <w:color w:val="202020"/>
          <w:sz w:val="28"/>
        </w:rPr>
        <w:t>我国的个人破产立法要有利于解决破产逃废债问题。在我国的民商事交易关系中，确实存在许多逃废债的情况，产生一批“老赖”，各</w:t>
      </w:r>
    </w:p>
    <w:p>
      <w:pPr>
        <w:spacing w:after="0" w:line="364" w:lineRule="auto"/>
        <w:jc w:val="left"/>
        <w:rPr>
          <w:sz w:val="28"/>
        </w:rPr>
        <w:sectPr>
          <w:pgSz w:w="11910" w:h="16840"/>
          <w:pgMar w:top="1600" w:right="1060" w:bottom="980" w:left="1260" w:header="1148" w:footer="793" w:gutter="0"/>
          <w:pgNumType w:fmt="decimal"/>
          <w:cols w:space="720" w:num="1"/>
        </w:sectPr>
      </w:pPr>
    </w:p>
    <w:p>
      <w:pPr>
        <w:pStyle w:val="4"/>
        <w:spacing w:before="57" w:line="364" w:lineRule="auto"/>
        <w:ind w:left="220" w:right="600"/>
        <w:jc w:val="both"/>
      </w:pPr>
      <w:r>
        <w:rPr>
          <w:color w:val="202020"/>
        </w:rPr>
        <w:t>种逃废债手段层出不穷，因此，我国的个人破产立法应考虑建构一个完善的阻隔、打击破产逃废债制度，个人破产的信息公示与共享制度就非常重要。另外，建立相应的破产刑事责任制度也很重要。</w:t>
      </w:r>
    </w:p>
    <w:p>
      <w:pPr>
        <w:pStyle w:val="4"/>
        <w:rPr>
          <w:sz w:val="20"/>
        </w:rPr>
      </w:pPr>
    </w:p>
    <w:p>
      <w:pPr>
        <w:pStyle w:val="4"/>
        <w:rPr>
          <w:sz w:val="20"/>
        </w:rPr>
      </w:pPr>
    </w:p>
    <w:p>
      <w:pPr>
        <w:pStyle w:val="4"/>
        <w:rPr>
          <w:sz w:val="20"/>
        </w:rPr>
      </w:pPr>
    </w:p>
    <w:p>
      <w:pPr>
        <w:pStyle w:val="4"/>
        <w:spacing w:before="6"/>
        <w:rPr>
          <w:sz w:val="16"/>
        </w:rPr>
      </w:pPr>
      <w:r>
        <w:drawing>
          <wp:anchor distT="0" distB="0" distL="0" distR="0" simplePos="0" relativeHeight="251660288" behindDoc="0" locked="0" layoutInCell="1" allowOverlap="1">
            <wp:simplePos x="0" y="0"/>
            <wp:positionH relativeFrom="page">
              <wp:posOffset>1316990</wp:posOffset>
            </wp:positionH>
            <wp:positionV relativeFrom="paragraph">
              <wp:posOffset>158750</wp:posOffset>
            </wp:positionV>
            <wp:extent cx="5306060" cy="6906895"/>
            <wp:effectExtent l="0" t="0" r="0" b="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jpeg"/>
                    <pic:cNvPicPr>
                      <a:picLocks noChangeAspect="1"/>
                    </pic:cNvPicPr>
                  </pic:nvPicPr>
                  <pic:blipFill>
                    <a:blip r:embed="rId35" cstate="print"/>
                    <a:stretch>
                      <a:fillRect/>
                    </a:stretch>
                  </pic:blipFill>
                  <pic:spPr>
                    <a:xfrm>
                      <a:off x="0" y="0"/>
                      <a:ext cx="5305806" cy="6906768"/>
                    </a:xfrm>
                    <a:prstGeom prst="rect">
                      <a:avLst/>
                    </a:prstGeom>
                  </pic:spPr>
                </pic:pic>
              </a:graphicData>
            </a:graphic>
          </wp:anchor>
        </w:drawing>
      </w:r>
    </w:p>
    <w:p>
      <w:pPr>
        <w:spacing w:after="0"/>
        <w:rPr>
          <w:sz w:val="16"/>
        </w:rPr>
        <w:sectPr>
          <w:pgSz w:w="11910" w:h="16840"/>
          <w:pgMar w:top="1600" w:right="1060" w:bottom="980" w:left="1260" w:header="1148" w:footer="793" w:gutter="0"/>
          <w:pgNumType w:fmt="decimal"/>
          <w:cols w:space="720" w:num="1"/>
        </w:sectPr>
      </w:pPr>
    </w:p>
    <w:p>
      <w:pPr>
        <w:pStyle w:val="4"/>
        <w:spacing w:before="8"/>
        <w:rPr>
          <w:rFonts w:ascii="Times New Roman"/>
          <w:sz w:val="22"/>
        </w:rPr>
      </w:pPr>
    </w:p>
    <w:p>
      <w:pPr>
        <w:pStyle w:val="4"/>
        <w:ind w:left="115"/>
        <w:rPr>
          <w:rFonts w:ascii="Times New Roman"/>
          <w:sz w:val="20"/>
        </w:rPr>
      </w:pPr>
      <w:r>
        <w:rPr>
          <w:rFonts w:ascii="Times New Roman"/>
          <w:sz w:val="20"/>
        </w:rPr>
        <w:drawing>
          <wp:inline distT="0" distB="0" distL="0" distR="0">
            <wp:extent cx="5682615" cy="7342505"/>
            <wp:effectExtent l="0" t="0" r="0" b="0"/>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pic:cNvPicPr>
                      <a:picLocks noChangeAspect="1"/>
                    </pic:cNvPicPr>
                  </pic:nvPicPr>
                  <pic:blipFill>
                    <a:blip r:embed="rId36" cstate="print"/>
                    <a:stretch>
                      <a:fillRect/>
                    </a:stretch>
                  </pic:blipFill>
                  <pic:spPr>
                    <a:xfrm>
                      <a:off x="0" y="0"/>
                      <a:ext cx="5682996" cy="7342632"/>
                    </a:xfrm>
                    <a:prstGeom prst="rect">
                      <a:avLst/>
                    </a:prstGeom>
                  </pic:spPr>
                </pic:pic>
              </a:graphicData>
            </a:graphic>
          </wp:inline>
        </w:drawing>
      </w:r>
    </w:p>
    <w:p>
      <w:pPr>
        <w:spacing w:after="0"/>
        <w:rPr>
          <w:rFonts w:ascii="Times New Roman"/>
          <w:sz w:val="20"/>
        </w:rPr>
      </w:pPr>
    </w:p>
    <w:p>
      <w:pPr>
        <w:keepNext w:val="0"/>
        <w:keepLines w:val="0"/>
        <w:pageBreakBefore w:val="0"/>
        <w:widowControl w:val="0"/>
        <w:kinsoku/>
        <w:wordWrap/>
        <w:overflowPunct/>
        <w:topLinePunct w:val="0"/>
        <w:autoSpaceDE w:val="0"/>
        <w:autoSpaceDN w:val="0"/>
        <w:bidi w:val="0"/>
        <w:adjustRightInd/>
        <w:snapToGrid/>
        <w:spacing w:after="0"/>
        <w:ind w:firstLine="548" w:firstLineChars="200"/>
        <w:textAlignment w:val="auto"/>
        <w:rPr>
          <w:rFonts w:hint="eastAsia" w:ascii="仿宋" w:hAnsi="仿宋" w:eastAsia="仿宋" w:cs="仿宋"/>
          <w:spacing w:val="-3"/>
          <w:sz w:val="28"/>
          <w:szCs w:val="22"/>
          <w:lang w:val="en-US" w:eastAsia="zh-CN" w:bidi="zh-CN"/>
        </w:rPr>
      </w:pPr>
      <w:r>
        <w:rPr>
          <w:rFonts w:hint="eastAsia" w:ascii="仿宋" w:hAnsi="仿宋" w:eastAsia="仿宋" w:cs="仿宋"/>
          <w:spacing w:val="-3"/>
          <w:sz w:val="28"/>
          <w:szCs w:val="22"/>
          <w:lang w:val="en-US" w:eastAsia="zh-CN" w:bidi="zh-CN"/>
        </w:rPr>
        <w:t>来源：《民主与法制》周刊</w:t>
      </w:r>
    </w:p>
    <w:p>
      <w:pPr>
        <w:keepNext w:val="0"/>
        <w:keepLines w:val="0"/>
        <w:pageBreakBefore w:val="0"/>
        <w:widowControl w:val="0"/>
        <w:kinsoku/>
        <w:wordWrap/>
        <w:overflowPunct/>
        <w:topLinePunct w:val="0"/>
        <w:autoSpaceDE w:val="0"/>
        <w:autoSpaceDN w:val="0"/>
        <w:bidi w:val="0"/>
        <w:adjustRightInd/>
        <w:snapToGrid/>
        <w:spacing w:after="0"/>
        <w:ind w:firstLine="548" w:firstLineChars="200"/>
        <w:textAlignment w:val="auto"/>
        <w:rPr>
          <w:rFonts w:hint="eastAsia" w:ascii="仿宋" w:hAnsi="仿宋" w:eastAsia="仿宋" w:cs="仿宋"/>
          <w:spacing w:val="-3"/>
          <w:sz w:val="28"/>
          <w:szCs w:val="22"/>
          <w:lang w:val="en-US" w:eastAsia="zh-CN" w:bidi="zh-CN"/>
        </w:rPr>
      </w:pPr>
    </w:p>
    <w:p>
      <w:pPr>
        <w:keepNext w:val="0"/>
        <w:keepLines w:val="0"/>
        <w:pageBreakBefore w:val="0"/>
        <w:widowControl w:val="0"/>
        <w:kinsoku/>
        <w:wordWrap/>
        <w:overflowPunct/>
        <w:topLinePunct w:val="0"/>
        <w:autoSpaceDE w:val="0"/>
        <w:autoSpaceDN w:val="0"/>
        <w:bidi w:val="0"/>
        <w:adjustRightInd/>
        <w:snapToGrid/>
        <w:spacing w:after="0"/>
        <w:ind w:firstLine="548" w:firstLineChars="200"/>
        <w:textAlignment w:val="auto"/>
        <w:rPr>
          <w:rFonts w:hint="eastAsia" w:ascii="仿宋" w:hAnsi="仿宋" w:eastAsia="仿宋" w:cs="仿宋"/>
          <w:spacing w:val="-3"/>
          <w:sz w:val="28"/>
          <w:szCs w:val="22"/>
          <w:lang w:val="en-US" w:eastAsia="zh-CN" w:bidi="zh-CN"/>
        </w:rPr>
        <w:sectPr>
          <w:pgSz w:w="11910" w:h="16840"/>
          <w:pgMar w:top="1600" w:right="1060" w:bottom="980" w:left="1260" w:header="1148" w:footer="793" w:gutter="0"/>
          <w:pgNumType w:fmt="decimal"/>
          <w:cols w:space="720" w:num="1"/>
        </w:sectPr>
      </w:pPr>
      <w:r>
        <w:rPr>
          <w:rFonts w:hint="eastAsia" w:ascii="仿宋" w:hAnsi="仿宋" w:eastAsia="仿宋" w:cs="仿宋"/>
          <w:spacing w:val="-3"/>
          <w:sz w:val="28"/>
          <w:szCs w:val="22"/>
          <w:lang w:val="en-US" w:eastAsia="zh-CN" w:bidi="zh-CN"/>
        </w:rPr>
        <w:t>https://mp.weixin.qq.com/s/YFCXIztOhl2Em4WpKdxpjA</w:t>
      </w:r>
    </w:p>
    <w:p>
      <w:pPr>
        <w:pStyle w:val="4"/>
        <w:rPr>
          <w:rFonts w:ascii="Times New Roman"/>
          <w:sz w:val="20"/>
        </w:rPr>
      </w:pPr>
    </w:p>
    <w:p>
      <w:pPr>
        <w:pStyle w:val="4"/>
        <w:spacing w:before="2"/>
        <w:rPr>
          <w:rFonts w:ascii="Times New Roman"/>
          <w:sz w:val="27"/>
        </w:rPr>
      </w:pPr>
    </w:p>
    <w:p>
      <w:pPr>
        <w:pStyle w:val="3"/>
        <w:spacing w:before="61" w:line="364" w:lineRule="auto"/>
        <w:ind w:left="537" w:right="571" w:firstLine="559"/>
      </w:pPr>
      <w:r>
        <w:rPr>
          <w:w w:val="95"/>
        </w:rPr>
        <w:t xml:space="preserve">十、深圳市破产管理人协会关于建立“破产融资信息平台”投资 </w:t>
      </w:r>
      <w:r>
        <w:t>人名册的公告</w:t>
      </w:r>
    </w:p>
    <w:p>
      <w:pPr>
        <w:pStyle w:val="4"/>
        <w:rPr>
          <w:b/>
        </w:rPr>
      </w:pPr>
    </w:p>
    <w:p>
      <w:pPr>
        <w:pStyle w:val="4"/>
        <w:spacing w:before="188"/>
        <w:ind w:left="780"/>
      </w:pPr>
      <w:r>
        <w:t>深圳市破产管理人协会 2022-06-13 18:06 发表于广东</w:t>
      </w:r>
    </w:p>
    <w:p>
      <w:pPr>
        <w:pStyle w:val="4"/>
      </w:pPr>
    </w:p>
    <w:p>
      <w:pPr>
        <w:pStyle w:val="4"/>
        <w:spacing w:before="5"/>
        <w:rPr>
          <w:sz w:val="29"/>
        </w:rPr>
      </w:pPr>
    </w:p>
    <w:p>
      <w:pPr>
        <w:pStyle w:val="4"/>
        <w:spacing w:line="364" w:lineRule="auto"/>
        <w:ind w:left="220" w:right="686" w:firstLine="559"/>
      </w:pPr>
      <w:r>
        <w:t>依据发改财金规〔2021〕1274号《关于推动和保障管理人在破产程序中依法履职进一步优化营商环境的意见》以及深圳市中级人民法院</w:t>
      </w:r>
    </w:p>
    <w:p>
      <w:pPr>
        <w:pStyle w:val="4"/>
        <w:spacing w:line="364" w:lineRule="auto"/>
        <w:ind w:left="220" w:right="686"/>
      </w:pPr>
      <w:r>
        <w:rPr>
          <w:spacing w:val="-3"/>
        </w:rPr>
        <w:t>《审理企业重整案件的工作指引</w:t>
      </w:r>
      <w:r>
        <w:t>（</w:t>
      </w:r>
      <w:r>
        <w:rPr>
          <w:spacing w:val="-2"/>
        </w:rPr>
        <w:t>试行</w:t>
      </w:r>
      <w:r>
        <w:t>）</w:t>
      </w:r>
      <w:r>
        <w:rPr>
          <w:spacing w:val="-3"/>
        </w:rPr>
        <w:t>》等有关规定，为解决破产企业投融资难的问题，高效融合金融与产业，利用市场化和法治化的手 段，提高破产企业挽救成功率以及资产处置效率，深圳市破产管理人协会决定设立“破产融资信息平台”，建立投资人名册。现面向社会公开招募有意愿入册的投资人，欢迎投资人积极申请入册。</w:t>
      </w:r>
    </w:p>
    <w:p>
      <w:pPr>
        <w:pStyle w:val="4"/>
      </w:pPr>
    </w:p>
    <w:p>
      <w:pPr>
        <w:pStyle w:val="4"/>
        <w:spacing w:before="185"/>
        <w:ind w:left="780"/>
      </w:pPr>
      <w:r>
        <w:t>一、入册条件</w:t>
      </w:r>
    </w:p>
    <w:p>
      <w:pPr>
        <w:pStyle w:val="4"/>
        <w:spacing w:before="189"/>
        <w:ind w:left="780"/>
      </w:pPr>
      <w:r>
        <w:t>申请入册的申请人需具备下述条件：</w:t>
      </w:r>
    </w:p>
    <w:p>
      <w:pPr>
        <w:pStyle w:val="8"/>
        <w:numPr>
          <w:ilvl w:val="0"/>
          <w:numId w:val="20"/>
        </w:numPr>
        <w:tabs>
          <w:tab w:val="left" w:pos="1064"/>
        </w:tabs>
        <w:spacing w:before="188" w:after="0" w:line="240" w:lineRule="auto"/>
        <w:ind w:left="1063" w:right="0" w:hanging="284"/>
        <w:jc w:val="left"/>
        <w:rPr>
          <w:sz w:val="28"/>
        </w:rPr>
      </w:pPr>
      <w:r>
        <w:rPr>
          <w:spacing w:val="-3"/>
          <w:sz w:val="28"/>
        </w:rPr>
        <w:t>在国内依法注册成立的法人或者非法人组织；</w:t>
      </w:r>
    </w:p>
    <w:p>
      <w:pPr>
        <w:pStyle w:val="8"/>
        <w:numPr>
          <w:ilvl w:val="0"/>
          <w:numId w:val="20"/>
        </w:numPr>
        <w:tabs>
          <w:tab w:val="left" w:pos="1064"/>
        </w:tabs>
        <w:spacing w:before="186" w:after="0" w:line="364" w:lineRule="auto"/>
        <w:ind w:left="220" w:right="686" w:firstLine="559"/>
        <w:jc w:val="left"/>
        <w:rPr>
          <w:sz w:val="28"/>
        </w:rPr>
      </w:pPr>
      <w:r>
        <w:rPr>
          <w:spacing w:val="-3"/>
          <w:sz w:val="28"/>
        </w:rPr>
        <w:t>实缴注册资本人民币</w:t>
      </w:r>
      <w:r>
        <w:rPr>
          <w:spacing w:val="-1"/>
          <w:sz w:val="28"/>
        </w:rPr>
        <w:t>1000</w:t>
      </w:r>
      <w:r>
        <w:rPr>
          <w:spacing w:val="-2"/>
          <w:sz w:val="28"/>
        </w:rPr>
        <w:t>万元以上</w:t>
      </w:r>
      <w:r>
        <w:rPr>
          <w:spacing w:val="-3"/>
          <w:sz w:val="28"/>
        </w:rPr>
        <w:t>（分公司申请入册的，以总公司的注册资本为准</w:t>
      </w:r>
      <w:r>
        <w:rPr>
          <w:sz w:val="28"/>
        </w:rPr>
        <w:t>）；</w:t>
      </w:r>
    </w:p>
    <w:p>
      <w:pPr>
        <w:pStyle w:val="8"/>
        <w:numPr>
          <w:ilvl w:val="0"/>
          <w:numId w:val="20"/>
        </w:numPr>
        <w:tabs>
          <w:tab w:val="left" w:pos="1064"/>
        </w:tabs>
        <w:spacing w:before="2" w:after="0" w:line="240" w:lineRule="auto"/>
        <w:ind w:left="1063" w:right="0" w:hanging="284"/>
        <w:jc w:val="left"/>
        <w:rPr>
          <w:sz w:val="28"/>
        </w:rPr>
      </w:pPr>
      <w:r>
        <w:rPr>
          <w:spacing w:val="-3"/>
          <w:sz w:val="28"/>
        </w:rPr>
        <w:t>未被列入经营异常名录和严重违法失信名单；</w:t>
      </w:r>
    </w:p>
    <w:p>
      <w:pPr>
        <w:pStyle w:val="8"/>
        <w:numPr>
          <w:ilvl w:val="0"/>
          <w:numId w:val="20"/>
        </w:numPr>
        <w:tabs>
          <w:tab w:val="left" w:pos="1064"/>
        </w:tabs>
        <w:spacing w:before="188" w:after="0" w:line="367" w:lineRule="auto"/>
        <w:ind w:left="780" w:right="4046" w:firstLine="0"/>
        <w:jc w:val="left"/>
        <w:rPr>
          <w:sz w:val="28"/>
        </w:rPr>
      </w:pPr>
      <w:r>
        <w:rPr>
          <w:spacing w:val="-3"/>
          <w:sz w:val="28"/>
        </w:rPr>
        <w:t>有意愿参与破产企业的投融资业务。二、入册投资人的主要权利</w:t>
      </w:r>
    </w:p>
    <w:p>
      <w:pPr>
        <w:pStyle w:val="8"/>
        <w:numPr>
          <w:ilvl w:val="0"/>
          <w:numId w:val="21"/>
        </w:numPr>
        <w:tabs>
          <w:tab w:val="left" w:pos="1064"/>
        </w:tabs>
        <w:spacing w:before="0" w:after="0" w:line="355" w:lineRule="exact"/>
        <w:ind w:left="1063" w:right="0" w:hanging="284"/>
        <w:jc w:val="left"/>
        <w:rPr>
          <w:sz w:val="28"/>
        </w:rPr>
      </w:pPr>
      <w:r>
        <w:rPr>
          <w:spacing w:val="-3"/>
          <w:sz w:val="28"/>
        </w:rPr>
        <w:t>在协会融资信息平台获得推介；</w:t>
      </w:r>
    </w:p>
    <w:p>
      <w:pPr>
        <w:pStyle w:val="8"/>
        <w:numPr>
          <w:ilvl w:val="0"/>
          <w:numId w:val="21"/>
        </w:numPr>
        <w:tabs>
          <w:tab w:val="left" w:pos="1064"/>
        </w:tabs>
        <w:spacing w:before="186" w:after="0" w:line="240" w:lineRule="auto"/>
        <w:ind w:left="1063" w:right="0" w:hanging="284"/>
        <w:jc w:val="left"/>
        <w:rPr>
          <w:sz w:val="28"/>
        </w:rPr>
      </w:pPr>
      <w:r>
        <w:rPr>
          <w:spacing w:val="-3"/>
          <w:sz w:val="28"/>
        </w:rPr>
        <w:t>优先获得投融资信息的推送；</w:t>
      </w:r>
    </w:p>
    <w:p>
      <w:pPr>
        <w:pStyle w:val="8"/>
        <w:numPr>
          <w:ilvl w:val="0"/>
          <w:numId w:val="21"/>
        </w:numPr>
        <w:tabs>
          <w:tab w:val="left" w:pos="1064"/>
        </w:tabs>
        <w:spacing w:before="189" w:after="0" w:line="240" w:lineRule="auto"/>
        <w:ind w:left="1063" w:right="0" w:hanging="284"/>
        <w:jc w:val="left"/>
        <w:rPr>
          <w:sz w:val="28"/>
        </w:rPr>
      </w:pPr>
      <w:r>
        <w:rPr>
          <w:spacing w:val="-3"/>
          <w:sz w:val="28"/>
        </w:rPr>
        <w:t>优先获得向管理人推荐的机会；</w:t>
      </w:r>
    </w:p>
    <w:p>
      <w:pPr>
        <w:spacing w:after="0" w:line="240" w:lineRule="auto"/>
        <w:jc w:val="left"/>
        <w:rPr>
          <w:sz w:val="28"/>
        </w:rPr>
        <w:sectPr>
          <w:footerReference r:id="rId15" w:type="default"/>
          <w:pgSz w:w="11910" w:h="16840"/>
          <w:pgMar w:top="1600" w:right="1060" w:bottom="980" w:left="1260" w:header="1148" w:footer="793" w:gutter="0"/>
          <w:pgNumType w:fmt="decimal" w:start="70"/>
          <w:cols w:space="720" w:num="1"/>
        </w:sectPr>
      </w:pPr>
    </w:p>
    <w:p>
      <w:pPr>
        <w:pStyle w:val="8"/>
        <w:numPr>
          <w:ilvl w:val="0"/>
          <w:numId w:val="21"/>
        </w:numPr>
        <w:tabs>
          <w:tab w:val="left" w:pos="1064"/>
        </w:tabs>
        <w:spacing w:before="57" w:after="0" w:line="240" w:lineRule="auto"/>
        <w:ind w:left="1063" w:right="0" w:hanging="284"/>
        <w:jc w:val="left"/>
        <w:rPr>
          <w:sz w:val="28"/>
        </w:rPr>
      </w:pPr>
      <w:r>
        <w:rPr>
          <w:spacing w:val="-3"/>
          <w:sz w:val="28"/>
        </w:rPr>
        <w:t>协调管理人为入册投资人提供尽可能的便利；</w:t>
      </w:r>
    </w:p>
    <w:p>
      <w:pPr>
        <w:pStyle w:val="8"/>
        <w:numPr>
          <w:ilvl w:val="0"/>
          <w:numId w:val="21"/>
        </w:numPr>
        <w:tabs>
          <w:tab w:val="left" w:pos="1064"/>
        </w:tabs>
        <w:spacing w:before="188" w:after="0" w:line="240" w:lineRule="auto"/>
        <w:ind w:left="1063" w:right="0" w:hanging="284"/>
        <w:jc w:val="left"/>
        <w:rPr>
          <w:sz w:val="28"/>
        </w:rPr>
      </w:pPr>
      <w:r>
        <w:rPr>
          <w:spacing w:val="-3"/>
          <w:sz w:val="28"/>
        </w:rPr>
        <w:t>优先获得协会的协助、帮助和权利维护指导；</w:t>
      </w:r>
    </w:p>
    <w:p>
      <w:pPr>
        <w:pStyle w:val="8"/>
        <w:numPr>
          <w:ilvl w:val="0"/>
          <w:numId w:val="21"/>
        </w:numPr>
        <w:tabs>
          <w:tab w:val="left" w:pos="1064"/>
        </w:tabs>
        <w:spacing w:before="189" w:after="0" w:line="364" w:lineRule="auto"/>
        <w:ind w:left="220" w:right="686" w:firstLine="559"/>
        <w:jc w:val="both"/>
        <w:rPr>
          <w:sz w:val="28"/>
        </w:rPr>
      </w:pPr>
      <w:r>
        <w:rPr>
          <w:spacing w:val="-3"/>
          <w:sz w:val="28"/>
        </w:rPr>
        <w:t>协会协助提供粤港澳大湾区</w:t>
      </w:r>
      <w:r>
        <w:rPr>
          <w:sz w:val="28"/>
        </w:rPr>
        <w:t>（</w:t>
      </w:r>
      <w:r>
        <w:rPr>
          <w:spacing w:val="-3"/>
          <w:sz w:val="28"/>
        </w:rPr>
        <w:t>或委托的其它地区</w:t>
      </w:r>
      <w:r>
        <w:rPr>
          <w:sz w:val="28"/>
        </w:rPr>
        <w:t>）</w:t>
      </w:r>
      <w:r>
        <w:rPr>
          <w:spacing w:val="-3"/>
          <w:sz w:val="28"/>
        </w:rPr>
        <w:t>的破产情况的相关资料，并协助对破产资产的尽调、评估、资产管理、资产处置等工作。</w:t>
      </w:r>
    </w:p>
    <w:p>
      <w:pPr>
        <w:pStyle w:val="8"/>
        <w:numPr>
          <w:ilvl w:val="0"/>
          <w:numId w:val="21"/>
        </w:numPr>
        <w:tabs>
          <w:tab w:val="left" w:pos="1064"/>
        </w:tabs>
        <w:spacing w:before="0" w:after="0" w:line="367" w:lineRule="auto"/>
        <w:ind w:left="780" w:right="3487" w:firstLine="0"/>
        <w:jc w:val="left"/>
        <w:rPr>
          <w:sz w:val="28"/>
        </w:rPr>
      </w:pPr>
      <w:r>
        <w:rPr>
          <w:spacing w:val="-3"/>
          <w:sz w:val="28"/>
        </w:rPr>
        <w:t>协会为入册投资人提供的有关其他服务。三、入册投资人的主要义务</w:t>
      </w:r>
    </w:p>
    <w:p>
      <w:pPr>
        <w:pStyle w:val="8"/>
        <w:numPr>
          <w:ilvl w:val="0"/>
          <w:numId w:val="22"/>
        </w:numPr>
        <w:tabs>
          <w:tab w:val="left" w:pos="1064"/>
        </w:tabs>
        <w:spacing w:before="0" w:after="0" w:line="355" w:lineRule="exact"/>
        <w:ind w:left="1063" w:right="0" w:hanging="284"/>
        <w:jc w:val="left"/>
        <w:rPr>
          <w:sz w:val="28"/>
        </w:rPr>
      </w:pPr>
      <w:r>
        <w:rPr>
          <w:spacing w:val="-3"/>
          <w:sz w:val="28"/>
        </w:rPr>
        <w:t>遵守法律法规以及协会的有关规定，依法并诚信投资；</w:t>
      </w:r>
    </w:p>
    <w:p>
      <w:pPr>
        <w:pStyle w:val="8"/>
        <w:numPr>
          <w:ilvl w:val="0"/>
          <w:numId w:val="22"/>
        </w:numPr>
        <w:tabs>
          <w:tab w:val="left" w:pos="1064"/>
        </w:tabs>
        <w:spacing w:before="187" w:after="0" w:line="364" w:lineRule="auto"/>
        <w:ind w:left="780" w:right="3487" w:firstLine="0"/>
        <w:jc w:val="left"/>
        <w:rPr>
          <w:sz w:val="28"/>
        </w:rPr>
      </w:pPr>
      <w:r>
        <w:rPr>
          <w:spacing w:val="-3"/>
          <w:sz w:val="28"/>
        </w:rPr>
        <w:t>积极参加协会组织的与投资相关的活动。四、报名时间及材料</w:t>
      </w:r>
    </w:p>
    <w:p>
      <w:pPr>
        <w:pStyle w:val="4"/>
        <w:spacing w:before="1" w:line="364" w:lineRule="auto"/>
        <w:ind w:left="220" w:right="688" w:firstLine="559"/>
      </w:pPr>
      <w:r>
        <w:t>有意向入册的申请人，应在本招募公告发布之日起30日内向协会申报，并提交以下材料：</w:t>
      </w:r>
    </w:p>
    <w:p>
      <w:pPr>
        <w:pStyle w:val="8"/>
        <w:numPr>
          <w:ilvl w:val="0"/>
          <w:numId w:val="23"/>
        </w:numPr>
        <w:tabs>
          <w:tab w:val="left" w:pos="1064"/>
        </w:tabs>
        <w:spacing w:before="1" w:after="0" w:line="240" w:lineRule="auto"/>
        <w:ind w:left="1063" w:right="0" w:hanging="284"/>
        <w:jc w:val="left"/>
        <w:rPr>
          <w:sz w:val="28"/>
        </w:rPr>
      </w:pPr>
      <w:r>
        <w:rPr>
          <w:spacing w:val="-3"/>
          <w:sz w:val="28"/>
        </w:rPr>
        <w:t>破产企业投资人名册入册申报表</w:t>
      </w:r>
      <w:r>
        <w:rPr>
          <w:sz w:val="28"/>
        </w:rPr>
        <w:t>（</w:t>
      </w:r>
      <w:r>
        <w:rPr>
          <w:spacing w:val="-3"/>
          <w:sz w:val="28"/>
        </w:rPr>
        <w:t>需加盖公章</w:t>
      </w:r>
      <w:r>
        <w:rPr>
          <w:sz w:val="28"/>
        </w:rPr>
        <w:t>）；</w:t>
      </w:r>
    </w:p>
    <w:p>
      <w:pPr>
        <w:pStyle w:val="8"/>
        <w:numPr>
          <w:ilvl w:val="0"/>
          <w:numId w:val="23"/>
        </w:numPr>
        <w:tabs>
          <w:tab w:val="left" w:pos="1064"/>
        </w:tabs>
        <w:spacing w:before="186" w:after="0" w:line="240" w:lineRule="auto"/>
        <w:ind w:left="1063" w:right="0" w:hanging="284"/>
        <w:jc w:val="left"/>
        <w:rPr>
          <w:sz w:val="28"/>
        </w:rPr>
      </w:pPr>
      <w:r>
        <w:rPr>
          <w:spacing w:val="-3"/>
          <w:sz w:val="28"/>
        </w:rPr>
        <w:t>企业法人营业执照副本复印件（</w:t>
      </w:r>
      <w:r>
        <w:rPr>
          <w:spacing w:val="-1"/>
          <w:sz w:val="28"/>
        </w:rPr>
        <w:t>需加盖公章</w:t>
      </w:r>
      <w:r>
        <w:rPr>
          <w:sz w:val="28"/>
        </w:rPr>
        <w:t>）；</w:t>
      </w:r>
    </w:p>
    <w:p>
      <w:pPr>
        <w:pStyle w:val="8"/>
        <w:numPr>
          <w:ilvl w:val="0"/>
          <w:numId w:val="23"/>
        </w:numPr>
        <w:tabs>
          <w:tab w:val="left" w:pos="1064"/>
        </w:tabs>
        <w:spacing w:before="189" w:after="0" w:line="240" w:lineRule="auto"/>
        <w:ind w:left="1063" w:right="0" w:hanging="284"/>
        <w:jc w:val="left"/>
        <w:rPr>
          <w:sz w:val="28"/>
        </w:rPr>
      </w:pPr>
      <w:r>
        <w:rPr>
          <w:spacing w:val="-3"/>
          <w:sz w:val="28"/>
        </w:rPr>
        <w:t>法定代表人身份证明书以及身份证复印件</w:t>
      </w:r>
      <w:r>
        <w:rPr>
          <w:sz w:val="28"/>
        </w:rPr>
        <w:t>（</w:t>
      </w:r>
      <w:r>
        <w:rPr>
          <w:spacing w:val="-3"/>
          <w:sz w:val="28"/>
        </w:rPr>
        <w:t>需加盖公章</w:t>
      </w:r>
      <w:r>
        <w:rPr>
          <w:sz w:val="28"/>
        </w:rPr>
        <w:t>）；</w:t>
      </w:r>
    </w:p>
    <w:p>
      <w:pPr>
        <w:pStyle w:val="8"/>
        <w:numPr>
          <w:ilvl w:val="0"/>
          <w:numId w:val="23"/>
        </w:numPr>
        <w:tabs>
          <w:tab w:val="left" w:pos="1064"/>
        </w:tabs>
        <w:spacing w:before="188" w:after="0" w:line="240" w:lineRule="auto"/>
        <w:ind w:left="1063" w:right="0" w:hanging="284"/>
        <w:jc w:val="left"/>
        <w:rPr>
          <w:sz w:val="28"/>
        </w:rPr>
      </w:pPr>
      <w:r>
        <w:rPr>
          <w:spacing w:val="-3"/>
          <w:sz w:val="28"/>
        </w:rPr>
        <w:t>经办人身份证复印件</w:t>
      </w:r>
      <w:r>
        <w:rPr>
          <w:sz w:val="28"/>
        </w:rPr>
        <w:t>（</w:t>
      </w:r>
      <w:r>
        <w:rPr>
          <w:spacing w:val="-3"/>
          <w:sz w:val="28"/>
        </w:rPr>
        <w:t>需加盖公章</w:t>
      </w:r>
      <w:r>
        <w:rPr>
          <w:sz w:val="28"/>
        </w:rPr>
        <w:t>）；</w:t>
      </w:r>
    </w:p>
    <w:p>
      <w:pPr>
        <w:pStyle w:val="8"/>
        <w:numPr>
          <w:ilvl w:val="0"/>
          <w:numId w:val="23"/>
        </w:numPr>
        <w:tabs>
          <w:tab w:val="left" w:pos="1064"/>
        </w:tabs>
        <w:spacing w:before="189" w:after="0" w:line="364" w:lineRule="auto"/>
        <w:ind w:left="220" w:right="686" w:firstLine="559"/>
        <w:jc w:val="left"/>
        <w:rPr>
          <w:sz w:val="28"/>
        </w:rPr>
      </w:pPr>
      <w:r>
        <w:rPr>
          <w:spacing w:val="-3"/>
          <w:sz w:val="28"/>
        </w:rPr>
        <w:t>在国家企业信用信息公示系统查询打印的企业信用信息、经营异常名录和严重违法失信名单的查询结果</w:t>
      </w:r>
      <w:r>
        <w:rPr>
          <w:sz w:val="28"/>
        </w:rPr>
        <w:t>（</w:t>
      </w:r>
      <w:r>
        <w:rPr>
          <w:spacing w:val="-3"/>
          <w:sz w:val="28"/>
        </w:rPr>
        <w:t>需加盖公章</w:t>
      </w:r>
      <w:r>
        <w:rPr>
          <w:sz w:val="28"/>
        </w:rPr>
        <w:t>）；</w:t>
      </w:r>
    </w:p>
    <w:p>
      <w:pPr>
        <w:pStyle w:val="8"/>
        <w:numPr>
          <w:ilvl w:val="0"/>
          <w:numId w:val="23"/>
        </w:numPr>
        <w:tabs>
          <w:tab w:val="left" w:pos="1064"/>
        </w:tabs>
        <w:spacing w:before="1" w:after="0" w:line="240" w:lineRule="auto"/>
        <w:ind w:left="1063" w:right="0" w:hanging="284"/>
        <w:jc w:val="left"/>
        <w:rPr>
          <w:sz w:val="28"/>
        </w:rPr>
      </w:pPr>
      <w:r>
        <w:rPr>
          <w:spacing w:val="-3"/>
          <w:sz w:val="28"/>
        </w:rPr>
        <w:t>申请人的简介</w:t>
      </w:r>
      <w:r>
        <w:rPr>
          <w:spacing w:val="-1"/>
          <w:sz w:val="28"/>
        </w:rPr>
        <w:t>（</w:t>
      </w:r>
      <w:r>
        <w:rPr>
          <w:spacing w:val="-3"/>
          <w:sz w:val="28"/>
        </w:rPr>
        <w:t>用途为平台推介，需加盖公章</w:t>
      </w:r>
      <w:r>
        <w:rPr>
          <w:spacing w:val="-1"/>
          <w:sz w:val="28"/>
        </w:rPr>
        <w:t>）</w:t>
      </w:r>
      <w:r>
        <w:rPr>
          <w:sz w:val="28"/>
        </w:rPr>
        <w:t>。</w:t>
      </w:r>
    </w:p>
    <w:p>
      <w:pPr>
        <w:pStyle w:val="8"/>
        <w:numPr>
          <w:ilvl w:val="0"/>
          <w:numId w:val="23"/>
        </w:numPr>
        <w:tabs>
          <w:tab w:val="left" w:pos="1064"/>
        </w:tabs>
        <w:spacing w:before="189" w:after="0" w:line="240" w:lineRule="auto"/>
        <w:ind w:left="1063" w:right="0" w:hanging="284"/>
        <w:jc w:val="left"/>
        <w:rPr>
          <w:sz w:val="28"/>
        </w:rPr>
      </w:pPr>
      <w:r>
        <w:rPr>
          <w:spacing w:val="-3"/>
          <w:sz w:val="28"/>
        </w:rPr>
        <w:t>注册资本已实缴的相关证明材料</w:t>
      </w:r>
      <w:r>
        <w:rPr>
          <w:spacing w:val="-1"/>
          <w:sz w:val="28"/>
        </w:rPr>
        <w:t>（</w:t>
      </w:r>
      <w:r>
        <w:rPr>
          <w:spacing w:val="-3"/>
          <w:sz w:val="28"/>
        </w:rPr>
        <w:t>需加盖公章</w:t>
      </w:r>
      <w:r>
        <w:rPr>
          <w:spacing w:val="-1"/>
          <w:sz w:val="28"/>
        </w:rPr>
        <w:t>）</w:t>
      </w:r>
      <w:r>
        <w:rPr>
          <w:sz w:val="28"/>
        </w:rPr>
        <w:t>。</w:t>
      </w:r>
    </w:p>
    <w:p>
      <w:pPr>
        <w:pStyle w:val="4"/>
        <w:spacing w:before="186" w:line="367" w:lineRule="auto"/>
        <w:ind w:left="780" w:right="1526"/>
      </w:pPr>
      <w:r>
        <w:t>上述材料须通过特快专递方式寄至深圳市破产管理人协会。联系人：邓志鹏，联系电话：82529804</w:t>
      </w:r>
    </w:p>
    <w:p>
      <w:pPr>
        <w:pStyle w:val="4"/>
        <w:spacing w:line="364" w:lineRule="auto"/>
        <w:ind w:left="220" w:right="688" w:firstLine="559"/>
      </w:pPr>
      <w:r>
        <w:t>收件地址：深圳市福田区益田路江苏大厦4602室深圳市破产管理人协会</w:t>
      </w:r>
    </w:p>
    <w:p>
      <w:pPr>
        <w:pStyle w:val="4"/>
        <w:ind w:left="780"/>
      </w:pPr>
      <w:r>
        <w:t>附：“破产融资信息平台”投资人名册入册申报表.pdf</w:t>
      </w:r>
    </w:p>
    <w:p>
      <w:pPr>
        <w:spacing w:after="0"/>
        <w:sectPr>
          <w:pgSz w:w="11910" w:h="16840"/>
          <w:pgMar w:top="1600" w:right="1060" w:bottom="980" w:left="1260" w:header="1148" w:footer="793" w:gutter="0"/>
          <w:pgNumType w:fmt="decimal"/>
          <w:cols w:space="720" w:num="1"/>
        </w:sectPr>
      </w:pPr>
    </w:p>
    <w:p>
      <w:pPr>
        <w:pStyle w:val="4"/>
        <w:rPr>
          <w:sz w:val="20"/>
        </w:rPr>
      </w:pPr>
    </w:p>
    <w:p>
      <w:pPr>
        <w:pStyle w:val="4"/>
        <w:spacing w:before="4"/>
        <w:rPr>
          <w:sz w:val="22"/>
        </w:rPr>
      </w:pPr>
    </w:p>
    <w:p>
      <w:pPr>
        <w:pStyle w:val="4"/>
        <w:spacing w:before="62" w:line="367" w:lineRule="auto"/>
        <w:ind w:left="6650" w:right="417" w:hanging="281"/>
        <w:jc w:val="right"/>
      </w:pPr>
      <w:r>
        <w:t>深圳市破产管理人协会二〇二二年六月十日</w:t>
      </w:r>
    </w:p>
    <w:p>
      <w:pPr>
        <w:pStyle w:val="4"/>
        <w:rPr>
          <w:sz w:val="20"/>
        </w:rPr>
      </w:pPr>
    </w:p>
    <w:p>
      <w:pPr>
        <w:pStyle w:val="4"/>
        <w:spacing w:before="6"/>
        <w:rPr>
          <w:sz w:val="17"/>
        </w:rPr>
      </w:pPr>
    </w:p>
    <w:p>
      <w:pPr>
        <w:pStyle w:val="4"/>
        <w:spacing w:before="61" w:line="360" w:lineRule="auto"/>
        <w:ind w:left="780"/>
      </w:pPr>
      <w:r>
        <w:t>来源：深圳市破产管理人协会公众号</w:t>
      </w:r>
    </w:p>
    <w:p>
      <w:pPr>
        <w:pStyle w:val="4"/>
        <w:spacing w:before="61" w:line="360" w:lineRule="auto"/>
        <w:ind w:left="780"/>
      </w:pPr>
      <w:r>
        <w:rPr>
          <w:rFonts w:hint="eastAsia"/>
        </w:rPr>
        <w:t>https://mp.weixin.qq.com/s/Ei_KDAglr62vuDMWG3zwKQ</w:t>
      </w:r>
    </w:p>
    <w:p>
      <w:pPr>
        <w:spacing w:after="0" w:line="360" w:lineRule="auto"/>
        <w:sectPr>
          <w:pgSz w:w="11910" w:h="16840"/>
          <w:pgMar w:top="1600" w:right="1060" w:bottom="980" w:left="1260" w:header="1148" w:footer="793" w:gutter="0"/>
          <w:pgNumType w:fmt="decimal"/>
          <w:cols w:space="720" w:num="1"/>
        </w:sectPr>
      </w:pPr>
    </w:p>
    <w:p>
      <w:pPr>
        <w:pStyle w:val="4"/>
        <w:rPr>
          <w:sz w:val="20"/>
        </w:rPr>
      </w:pPr>
    </w:p>
    <w:p>
      <w:pPr>
        <w:pStyle w:val="4"/>
        <w:spacing w:before="4"/>
        <w:rPr>
          <w:sz w:val="22"/>
        </w:rPr>
      </w:pPr>
    </w:p>
    <w:p>
      <w:pPr>
        <w:pStyle w:val="3"/>
        <w:spacing w:before="62" w:line="367" w:lineRule="auto"/>
        <w:ind w:left="220" w:right="614" w:firstLine="559"/>
      </w:pPr>
      <w:r>
        <w:rPr>
          <w:w w:val="95"/>
        </w:rPr>
        <w:t xml:space="preserve">十一、深圳市中级人民法院审理的某电商公司破产和解案入选广东 </w:t>
      </w:r>
      <w:r>
        <w:t>法院助力中小微企业发展典型案例</w:t>
      </w:r>
    </w:p>
    <w:p>
      <w:pPr>
        <w:pStyle w:val="4"/>
        <w:rPr>
          <w:b/>
        </w:rPr>
      </w:pPr>
    </w:p>
    <w:p>
      <w:pPr>
        <w:pStyle w:val="4"/>
        <w:spacing w:before="183"/>
        <w:ind w:left="780"/>
      </w:pPr>
      <w:r>
        <w:t>深圳市破产管理人协会 2022-06-20 18:00 发表于广东</w:t>
      </w:r>
    </w:p>
    <w:p>
      <w:pPr>
        <w:pStyle w:val="4"/>
      </w:pPr>
    </w:p>
    <w:p>
      <w:pPr>
        <w:pStyle w:val="4"/>
        <w:spacing w:before="5"/>
        <w:rPr>
          <w:sz w:val="29"/>
        </w:rPr>
      </w:pPr>
    </w:p>
    <w:p>
      <w:pPr>
        <w:pStyle w:val="3"/>
        <w:ind w:left="421" w:right="63"/>
        <w:jc w:val="center"/>
      </w:pPr>
      <w:r>
        <w:rPr>
          <w:color w:val="8063A1"/>
        </w:rPr>
        <w:t>积极引导化解企业债务危机——某电商公司破产和解</w:t>
      </w:r>
    </w:p>
    <w:p>
      <w:pPr>
        <w:pStyle w:val="4"/>
        <w:rPr>
          <w:b/>
        </w:rPr>
      </w:pPr>
    </w:p>
    <w:p>
      <w:pPr>
        <w:pStyle w:val="4"/>
        <w:spacing w:before="3"/>
        <w:rPr>
          <w:b/>
          <w:sz w:val="29"/>
        </w:rPr>
      </w:pPr>
    </w:p>
    <w:p>
      <w:pPr>
        <w:pStyle w:val="4"/>
        <w:ind w:left="780"/>
      </w:pPr>
      <w:r>
        <w:t>【基本案情】</w:t>
      </w:r>
    </w:p>
    <w:p>
      <w:pPr>
        <w:pStyle w:val="4"/>
      </w:pPr>
    </w:p>
    <w:p>
      <w:pPr>
        <w:pStyle w:val="4"/>
        <w:spacing w:before="5"/>
        <w:rPr>
          <w:sz w:val="29"/>
        </w:rPr>
      </w:pPr>
    </w:p>
    <w:p>
      <w:pPr>
        <w:pStyle w:val="4"/>
        <w:spacing w:line="364" w:lineRule="auto"/>
        <w:ind w:left="220" w:right="547" w:firstLine="559"/>
      </w:pPr>
      <w:r>
        <w:t>某电商公司系在深圳注册的一家跨境电商小微企业，是政府扶持的留学生创业企业。2021年1月，因不能清偿到期债务，经债权人申请，某电商公司进入破产清算程序。经查，某电商公司名下财产主要包括4项商标、1项域名及1项软件著作权，银行存款仅1000余元，对外应收款14万元，但该债权经执行程序仍无法清偿，现有财产难以变现用以清偿债务1.6万余元。</w:t>
      </w:r>
    </w:p>
    <w:p>
      <w:pPr>
        <w:pStyle w:val="4"/>
      </w:pPr>
    </w:p>
    <w:p>
      <w:pPr>
        <w:pStyle w:val="4"/>
        <w:spacing w:before="186"/>
        <w:ind w:left="780"/>
      </w:pPr>
      <w:r>
        <w:t>【裁判结果】</w:t>
      </w:r>
    </w:p>
    <w:p>
      <w:pPr>
        <w:pStyle w:val="4"/>
      </w:pPr>
    </w:p>
    <w:p>
      <w:pPr>
        <w:pStyle w:val="4"/>
        <w:spacing w:before="5"/>
        <w:rPr>
          <w:sz w:val="29"/>
        </w:rPr>
      </w:pPr>
    </w:p>
    <w:p>
      <w:pPr>
        <w:pStyle w:val="4"/>
        <w:spacing w:line="364" w:lineRule="auto"/>
        <w:ind w:left="220" w:right="547" w:firstLine="559"/>
      </w:pPr>
      <w:r>
        <w:t>深圳市中级人民法院审查认为，某电商公司虽未能及时清偿债务， 但其法定代表人、股东有意通过清偿债务从而保留公司法人资格继续经营，具有挽救价值和偿债可能性，故多次组织双方当事人进行调解，最终促成双方达成和解协议，由某电商公司法定代表人代为分期全额清偿债务。和解协议签订后，某电商公司依约清偿债务。2021年6月，经管理人申请，法院裁定认可《和解协议书》，终结破产程序。某电商公司现</w:t>
      </w:r>
    </w:p>
    <w:p>
      <w:pPr>
        <w:spacing w:after="0" w:line="364" w:lineRule="auto"/>
        <w:sectPr>
          <w:pgSz w:w="11910" w:h="16840"/>
          <w:pgMar w:top="1600" w:right="1060" w:bottom="980" w:left="1260" w:header="1148" w:footer="793" w:gutter="0"/>
          <w:pgNumType w:fmt="decimal"/>
          <w:cols w:space="720" w:num="1"/>
        </w:sectPr>
      </w:pPr>
    </w:p>
    <w:p>
      <w:pPr>
        <w:pStyle w:val="4"/>
        <w:spacing w:before="57"/>
        <w:ind w:left="220"/>
      </w:pPr>
      <w:r>
        <w:t>已恢复经营，原有业务得以延续。</w:t>
      </w:r>
    </w:p>
    <w:p>
      <w:pPr>
        <w:pStyle w:val="4"/>
      </w:pPr>
    </w:p>
    <w:p>
      <w:pPr>
        <w:pStyle w:val="4"/>
        <w:spacing w:before="5"/>
        <w:rPr>
          <w:sz w:val="29"/>
        </w:rPr>
      </w:pPr>
    </w:p>
    <w:p>
      <w:pPr>
        <w:pStyle w:val="4"/>
        <w:ind w:left="780"/>
      </w:pPr>
      <w:r>
        <w:t>【典型意义】</w:t>
      </w:r>
    </w:p>
    <w:p>
      <w:pPr>
        <w:pStyle w:val="4"/>
      </w:pPr>
    </w:p>
    <w:p>
      <w:pPr>
        <w:pStyle w:val="4"/>
        <w:spacing w:before="3"/>
        <w:rPr>
          <w:sz w:val="29"/>
        </w:rPr>
      </w:pPr>
    </w:p>
    <w:p>
      <w:pPr>
        <w:pStyle w:val="4"/>
        <w:spacing w:line="364" w:lineRule="auto"/>
        <w:ind w:left="220" w:right="686" w:firstLine="559"/>
      </w:pPr>
      <w:r>
        <w:rPr>
          <w:spacing w:val="-3"/>
        </w:rPr>
        <w:t>本案准确识别小微企业的经营价值，积极促成双方当事人达成和 解，既保障债权人利益有效实现，又维护企业的运营发展价值，促使困境小微企业卸下债务负担后重获新生，为大学生创新创业营造了良好法</w:t>
      </w:r>
      <w:r>
        <w:rPr>
          <w:spacing w:val="-2"/>
        </w:rPr>
        <w:t>治环境。</w:t>
      </w:r>
    </w:p>
    <w:p>
      <w:pPr>
        <w:pStyle w:val="4"/>
      </w:pPr>
    </w:p>
    <w:p>
      <w:pPr>
        <w:pStyle w:val="4"/>
      </w:pPr>
    </w:p>
    <w:p>
      <w:pPr>
        <w:pStyle w:val="4"/>
      </w:pPr>
    </w:p>
    <w:p>
      <w:pPr>
        <w:pStyle w:val="4"/>
      </w:pPr>
    </w:p>
    <w:p>
      <w:pPr>
        <w:pStyle w:val="4"/>
        <w:spacing w:before="205" w:line="360" w:lineRule="auto"/>
        <w:ind w:left="780"/>
      </w:pPr>
      <w:r>
        <w:t>来源：广东省高级人民法院</w:t>
      </w:r>
      <w:r>
        <w:rPr>
          <w:rFonts w:hint="eastAsia"/>
        </w:rPr>
        <w:t>https://mp.weixin.qq.com/s/x3Mm3s_P7Pbj4hPPyv4psw</w:t>
      </w:r>
    </w:p>
    <w:p>
      <w:pPr>
        <w:spacing w:after="0" w:line="360" w:lineRule="auto"/>
        <w:sectPr>
          <w:pgSz w:w="11910" w:h="16840"/>
          <w:pgMar w:top="1600" w:right="1060" w:bottom="980" w:left="1260" w:header="1148" w:footer="793" w:gutter="0"/>
          <w:pgNumType w:fmt="decimal"/>
          <w:cols w:space="720" w:num="1"/>
        </w:sectPr>
      </w:pPr>
    </w:p>
    <w:p>
      <w:pPr>
        <w:pStyle w:val="4"/>
        <w:rPr>
          <w:sz w:val="20"/>
        </w:rPr>
      </w:pPr>
    </w:p>
    <w:p>
      <w:pPr>
        <w:pStyle w:val="4"/>
        <w:spacing w:before="4"/>
        <w:rPr>
          <w:sz w:val="22"/>
        </w:rPr>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spacing w:before="1"/>
        <w:rPr>
          <w:sz w:val="34"/>
        </w:rPr>
      </w:pPr>
    </w:p>
    <w:p>
      <w:pPr>
        <w:spacing w:before="0"/>
        <w:ind w:left="220" w:right="0" w:firstLine="0"/>
        <w:jc w:val="left"/>
        <w:rPr>
          <w:rFonts w:hint="eastAsia" w:ascii="微软雅黑" w:eastAsia="微软雅黑"/>
          <w:b/>
          <w:sz w:val="33"/>
        </w:rPr>
      </w:pPr>
      <w:r>
        <w:rPr>
          <w:rFonts w:hint="eastAsia" w:ascii="微软雅黑" w:eastAsia="微软雅黑"/>
          <w:b/>
          <w:color w:val="202020"/>
          <w:sz w:val="33"/>
        </w:rPr>
        <w:t>---------------------------完--------------------------------</w:t>
      </w:r>
    </w:p>
    <w:sectPr>
      <w:footerReference r:id="rId16" w:type="default"/>
      <w:pgSz w:w="11910" w:h="16840"/>
      <w:pgMar w:top="1600" w:right="1060" w:bottom="980" w:left="1260" w:header="1148" w:footer="79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S UI Gothic">
    <w:panose1 w:val="020B0600070205080204"/>
    <w:charset w:val="80"/>
    <w:family w:val="swiss"/>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1" o:spid="_x0000_s2051" o:spt="202" type="#_x0000_t202" style="position:absolute;left:0pt;margin-left:258.4pt;margin-top:791.35pt;height:11.15pt;width:78.6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1 页 共 </w:t>
                </w:r>
                <w:r>
                  <w:rPr>
                    <w:rFonts w:hint="eastAsia"/>
                    <w:sz w:val="18"/>
                    <w:lang w:val="en-US" w:eastAsia="zh-CN"/>
                  </w:rPr>
                  <w:t>75</w:t>
                </w:r>
                <w:r>
                  <w:rPr>
                    <w:sz w:val="18"/>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2" o:spid="_x0000_s2052" o:spt="202" type="#_x0000_t202" style="position:absolute;left:0pt;margin-left:260.2pt;margin-top:781.15pt;height:11pt;width:60.45pt;mso-position-horizontal-relative:page;mso-position-vertical-relative:page;z-index:-251652096;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sz w:val="18"/>
                  </w:rPr>
                </w:pPr>
                <w:r>
                  <w:rPr>
                    <w:sz w:val="18"/>
                  </w:rPr>
                  <w:t>第2页 共</w:t>
                </w:r>
                <w:r>
                  <w:rPr>
                    <w:rFonts w:hint="eastAsia"/>
                    <w:sz w:val="18"/>
                    <w:lang w:val="en-US" w:eastAsia="zh-CN"/>
                  </w:rPr>
                  <w:t>75</w:t>
                </w:r>
                <w:r>
                  <w:rPr>
                    <w:sz w:val="18"/>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3" o:spid="_x0000_s2053" o:spt="202" type="#_x0000_t202" style="position:absolute;left:0pt;margin-left:258.4pt;margin-top:791.35pt;height:11.15pt;width:78.6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4" o:spid="_x0000_s2054" o:spt="202" type="#_x0000_t202" style="position:absolute;left:0pt;margin-left:256.25pt;margin-top:791.35pt;height:11.15pt;width:83pt;mso-position-horizontal-relative:page;mso-position-vertical-relative:page;z-index:-251650048;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5" o:spid="_x0000_s2055" o:spt="202" type="#_x0000_t202" style="position:absolute;left:0pt;margin-left:256.25pt;margin-top:791.35pt;height:11.15pt;width:83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20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6" o:spid="_x0000_s2056" o:spt="202" type="#_x0000_t202" style="position:absolute;left:0pt;margin-left:256.25pt;margin-top:791.35pt;height:11.15pt;width:83pt;mso-position-horizontal-relative:page;mso-position-vertical-relative:page;z-index:-251648000;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30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7" o:spid="_x0000_s2057" o:spt="202" type="#_x0000_t202" style="position:absolute;left:0pt;margin-left:256.25pt;margin-top:791.35pt;height:11.15pt;width:83pt;mso-position-horizontal-relative:page;mso-position-vertical-relative:page;z-index:-251646976;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40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8" o:spid="_x0000_s2058" o:spt="202" type="#_x0000_t202" style="position:absolute;left:0pt;margin-left:256.25pt;margin-top:791.35pt;height:11.15pt;width:83pt;mso-position-horizontal-relative:page;mso-position-vertical-relative:page;z-index:-251645952;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50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9" o:spid="_x0000_s2059" o:spt="202" type="#_x0000_t202" style="position:absolute;left:0pt;margin-left:256.25pt;margin-top:791.35pt;height:11.15pt;width:83pt;mso-position-horizontal-relative:page;mso-position-vertical-relative:page;z-index:-251644928;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60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60" o:spid="_x0000_s2060" o:spt="202" type="#_x0000_t202" style="position:absolute;left:0pt;margin-left:256.25pt;margin-top:791.35pt;height:11.15pt;width:83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70</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63" o:spid="_x0000_s2063" o:spt="202" type="#_x0000_t202" style="position:absolute;left:0pt;margin-left:254pt;margin-top:791.35pt;height:11.15pt;width:87.4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pPr>
                  <w:spacing w:before="0" w:line="222" w:lineRule="exact"/>
                  <w:ind w:left="20" w:right="0" w:firstLine="0"/>
                  <w:jc w:val="left"/>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75</w:t>
                </w:r>
                <w:r>
                  <w:rPr>
                    <w:sz w:val="18"/>
                  </w:rPr>
                  <w:fldChar w:fldCharType="end"/>
                </w:r>
                <w:r>
                  <w:rPr>
                    <w:sz w:val="18"/>
                  </w:rPr>
                  <w:t xml:space="preserve"> 页 共 </w:t>
                </w:r>
                <w:r>
                  <w:rPr>
                    <w:sz w:val="18"/>
                  </w:rPr>
                  <w:fldChar w:fldCharType="begin"/>
                </w:r>
                <w:r>
                  <w:rPr>
                    <w:sz w:val="18"/>
                  </w:rPr>
                  <w:instrText xml:space="preserve"> NUMPAGES  \* MERGEFORMAT </w:instrText>
                </w:r>
                <w:r>
                  <w:rPr>
                    <w:sz w:val="18"/>
                  </w:rPr>
                  <w:fldChar w:fldCharType="separate"/>
                </w:r>
                <w:r>
                  <w:rPr>
                    <w:sz w:val="18"/>
                  </w:rPr>
                  <w:t>75</w:t>
                </w:r>
                <w:r>
                  <w:rPr>
                    <w:sz w:val="18"/>
                  </w:rPr>
                  <w:fldChar w:fldCharType="end"/>
                </w:r>
                <w:r>
                  <w:rPr>
                    <w:sz w:val="18"/>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line id="_x0000_s2049" o:spid="_x0000_s2049" o:spt="20" style="position:absolute;left:0pt;margin-left:90pt;margin-top:70.75pt;height:0pt;width:415.3pt;mso-position-horizontal-relative:page;mso-position-vertical-relative:page;z-index:-251655168;mso-width-relative:page;mso-height-relative:page;" stroked="t" coordsize="21600,21600">
          <v:path arrowok="t"/>
          <v:fill focussize="0,0"/>
          <v:stroke weight="0.6pt" color="#000000"/>
          <v:imagedata o:title=""/>
          <o:lock v:ext="edit"/>
        </v:line>
      </w:pict>
    </w:r>
    <w:r>
      <w:pict>
        <v:shape id="_x0000_s2050" o:spid="_x0000_s2050" o:spt="202" type="#_x0000_t202" style="position:absolute;left:0pt;margin-left:122.55pt;margin-top:56.4pt;height:14pt;width:350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pPr>
                  <w:spacing w:before="0" w:line="280" w:lineRule="exact"/>
                  <w:ind w:left="20" w:right="0" w:firstLine="0"/>
                  <w:jc w:val="left"/>
                  <w:rPr>
                    <w:sz w:val="24"/>
                  </w:rPr>
                </w:pPr>
                <w:r>
                  <w:rPr>
                    <w:sz w:val="24"/>
                  </w:rPr>
                  <w:t>深圳市律师协会企业破产清算法律专业委员会·法律资讯 2022.06</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1542" w:hanging="702"/>
        <w:jc w:val="left"/>
      </w:pPr>
      <w:rPr>
        <w:rFonts w:hint="default" w:ascii="仿宋" w:hAnsi="仿宋" w:eastAsia="仿宋" w:cs="仿宋"/>
        <w:color w:val="202020"/>
        <w:spacing w:val="-3"/>
        <w:w w:val="100"/>
        <w:sz w:val="26"/>
        <w:szCs w:val="26"/>
        <w:lang w:val="zh-CN" w:eastAsia="zh-CN" w:bidi="zh-CN"/>
      </w:rPr>
    </w:lvl>
    <w:lvl w:ilvl="1" w:tentative="0">
      <w:start w:val="0"/>
      <w:numFmt w:val="bullet"/>
      <w:lvlText w:val="•"/>
      <w:lvlJc w:val="left"/>
      <w:pPr>
        <w:ind w:left="2345" w:hanging="702"/>
      </w:pPr>
      <w:rPr>
        <w:rFonts w:hint="default"/>
        <w:lang w:val="zh-CN" w:eastAsia="zh-CN" w:bidi="zh-CN"/>
      </w:rPr>
    </w:lvl>
    <w:lvl w:ilvl="2" w:tentative="0">
      <w:start w:val="0"/>
      <w:numFmt w:val="bullet"/>
      <w:lvlText w:val="•"/>
      <w:lvlJc w:val="left"/>
      <w:pPr>
        <w:ind w:left="3150" w:hanging="702"/>
      </w:pPr>
      <w:rPr>
        <w:rFonts w:hint="default"/>
        <w:lang w:val="zh-CN" w:eastAsia="zh-CN" w:bidi="zh-CN"/>
      </w:rPr>
    </w:lvl>
    <w:lvl w:ilvl="3" w:tentative="0">
      <w:start w:val="0"/>
      <w:numFmt w:val="bullet"/>
      <w:lvlText w:val="•"/>
      <w:lvlJc w:val="left"/>
      <w:pPr>
        <w:ind w:left="3955" w:hanging="702"/>
      </w:pPr>
      <w:rPr>
        <w:rFonts w:hint="default"/>
        <w:lang w:val="zh-CN" w:eastAsia="zh-CN" w:bidi="zh-CN"/>
      </w:rPr>
    </w:lvl>
    <w:lvl w:ilvl="4" w:tentative="0">
      <w:start w:val="0"/>
      <w:numFmt w:val="bullet"/>
      <w:lvlText w:val="•"/>
      <w:lvlJc w:val="left"/>
      <w:pPr>
        <w:ind w:left="4760" w:hanging="702"/>
      </w:pPr>
      <w:rPr>
        <w:rFonts w:hint="default"/>
        <w:lang w:val="zh-CN" w:eastAsia="zh-CN" w:bidi="zh-CN"/>
      </w:rPr>
    </w:lvl>
    <w:lvl w:ilvl="5" w:tentative="0">
      <w:start w:val="0"/>
      <w:numFmt w:val="bullet"/>
      <w:lvlText w:val="•"/>
      <w:lvlJc w:val="left"/>
      <w:pPr>
        <w:ind w:left="5565" w:hanging="702"/>
      </w:pPr>
      <w:rPr>
        <w:rFonts w:hint="default"/>
        <w:lang w:val="zh-CN" w:eastAsia="zh-CN" w:bidi="zh-CN"/>
      </w:rPr>
    </w:lvl>
    <w:lvl w:ilvl="6" w:tentative="0">
      <w:start w:val="0"/>
      <w:numFmt w:val="bullet"/>
      <w:lvlText w:val="•"/>
      <w:lvlJc w:val="left"/>
      <w:pPr>
        <w:ind w:left="6370" w:hanging="702"/>
      </w:pPr>
      <w:rPr>
        <w:rFonts w:hint="default"/>
        <w:lang w:val="zh-CN" w:eastAsia="zh-CN" w:bidi="zh-CN"/>
      </w:rPr>
    </w:lvl>
    <w:lvl w:ilvl="7" w:tentative="0">
      <w:start w:val="0"/>
      <w:numFmt w:val="bullet"/>
      <w:lvlText w:val="•"/>
      <w:lvlJc w:val="left"/>
      <w:pPr>
        <w:ind w:left="7175" w:hanging="702"/>
      </w:pPr>
      <w:rPr>
        <w:rFonts w:hint="default"/>
        <w:lang w:val="zh-CN" w:eastAsia="zh-CN" w:bidi="zh-CN"/>
      </w:rPr>
    </w:lvl>
    <w:lvl w:ilvl="8" w:tentative="0">
      <w:start w:val="0"/>
      <w:numFmt w:val="bullet"/>
      <w:lvlText w:val="•"/>
      <w:lvlJc w:val="left"/>
      <w:pPr>
        <w:ind w:left="7980" w:hanging="702"/>
      </w:pPr>
      <w:rPr>
        <w:rFonts w:hint="default"/>
        <w:lang w:val="zh-CN" w:eastAsia="zh-CN" w:bidi="zh-CN"/>
      </w:rPr>
    </w:lvl>
  </w:abstractNum>
  <w:abstractNum w:abstractNumId="1">
    <w:nsid w:val="9C8AC8EF"/>
    <w:multiLevelType w:val="multilevel"/>
    <w:tmpl w:val="9C8AC8EF"/>
    <w:lvl w:ilvl="0" w:tentative="0">
      <w:start w:val="1"/>
      <w:numFmt w:val="decimal"/>
      <w:lvlText w:val="%1."/>
      <w:lvlJc w:val="left"/>
      <w:pPr>
        <w:ind w:left="1063" w:hanging="284"/>
        <w:jc w:val="left"/>
      </w:pPr>
      <w:rPr>
        <w:rFonts w:hint="default" w:ascii="仿宋" w:hAnsi="仿宋" w:eastAsia="仿宋" w:cs="仿宋"/>
        <w:color w:val="202020"/>
        <w:spacing w:val="1"/>
        <w:w w:val="100"/>
        <w:sz w:val="26"/>
        <w:szCs w:val="26"/>
        <w:lang w:val="zh-CN" w:eastAsia="zh-CN" w:bidi="zh-CN"/>
      </w:rPr>
    </w:lvl>
    <w:lvl w:ilvl="1" w:tentative="0">
      <w:start w:val="0"/>
      <w:numFmt w:val="bullet"/>
      <w:lvlText w:val="•"/>
      <w:lvlJc w:val="left"/>
      <w:pPr>
        <w:ind w:left="1913" w:hanging="284"/>
      </w:pPr>
      <w:rPr>
        <w:rFonts w:hint="default"/>
        <w:lang w:val="zh-CN" w:eastAsia="zh-CN" w:bidi="zh-CN"/>
      </w:rPr>
    </w:lvl>
    <w:lvl w:ilvl="2" w:tentative="0">
      <w:start w:val="0"/>
      <w:numFmt w:val="bullet"/>
      <w:lvlText w:val="•"/>
      <w:lvlJc w:val="left"/>
      <w:pPr>
        <w:ind w:left="2766" w:hanging="284"/>
      </w:pPr>
      <w:rPr>
        <w:rFonts w:hint="default"/>
        <w:lang w:val="zh-CN" w:eastAsia="zh-CN" w:bidi="zh-CN"/>
      </w:rPr>
    </w:lvl>
    <w:lvl w:ilvl="3" w:tentative="0">
      <w:start w:val="0"/>
      <w:numFmt w:val="bullet"/>
      <w:lvlText w:val="•"/>
      <w:lvlJc w:val="left"/>
      <w:pPr>
        <w:ind w:left="3619" w:hanging="284"/>
      </w:pPr>
      <w:rPr>
        <w:rFonts w:hint="default"/>
        <w:lang w:val="zh-CN" w:eastAsia="zh-CN" w:bidi="zh-CN"/>
      </w:rPr>
    </w:lvl>
    <w:lvl w:ilvl="4" w:tentative="0">
      <w:start w:val="0"/>
      <w:numFmt w:val="bullet"/>
      <w:lvlText w:val="•"/>
      <w:lvlJc w:val="left"/>
      <w:pPr>
        <w:ind w:left="4472" w:hanging="284"/>
      </w:pPr>
      <w:rPr>
        <w:rFonts w:hint="default"/>
        <w:lang w:val="zh-CN" w:eastAsia="zh-CN" w:bidi="zh-CN"/>
      </w:rPr>
    </w:lvl>
    <w:lvl w:ilvl="5" w:tentative="0">
      <w:start w:val="0"/>
      <w:numFmt w:val="bullet"/>
      <w:lvlText w:val="•"/>
      <w:lvlJc w:val="left"/>
      <w:pPr>
        <w:ind w:left="5325" w:hanging="284"/>
      </w:pPr>
      <w:rPr>
        <w:rFonts w:hint="default"/>
        <w:lang w:val="zh-CN" w:eastAsia="zh-CN" w:bidi="zh-CN"/>
      </w:rPr>
    </w:lvl>
    <w:lvl w:ilvl="6" w:tentative="0">
      <w:start w:val="0"/>
      <w:numFmt w:val="bullet"/>
      <w:lvlText w:val="•"/>
      <w:lvlJc w:val="left"/>
      <w:pPr>
        <w:ind w:left="6178" w:hanging="284"/>
      </w:pPr>
      <w:rPr>
        <w:rFonts w:hint="default"/>
        <w:lang w:val="zh-CN" w:eastAsia="zh-CN" w:bidi="zh-CN"/>
      </w:rPr>
    </w:lvl>
    <w:lvl w:ilvl="7" w:tentative="0">
      <w:start w:val="0"/>
      <w:numFmt w:val="bullet"/>
      <w:lvlText w:val="•"/>
      <w:lvlJc w:val="left"/>
      <w:pPr>
        <w:ind w:left="7031" w:hanging="284"/>
      </w:pPr>
      <w:rPr>
        <w:rFonts w:hint="default"/>
        <w:lang w:val="zh-CN" w:eastAsia="zh-CN" w:bidi="zh-CN"/>
      </w:rPr>
    </w:lvl>
    <w:lvl w:ilvl="8" w:tentative="0">
      <w:start w:val="0"/>
      <w:numFmt w:val="bullet"/>
      <w:lvlText w:val="•"/>
      <w:lvlJc w:val="left"/>
      <w:pPr>
        <w:ind w:left="7884" w:hanging="284"/>
      </w:pPr>
      <w:rPr>
        <w:rFonts w:hint="default"/>
        <w:lang w:val="zh-CN" w:eastAsia="zh-CN" w:bidi="zh-CN"/>
      </w:rPr>
    </w:lvl>
  </w:abstractNum>
  <w:abstractNum w:abstractNumId="2">
    <w:nsid w:val="B5E306ED"/>
    <w:multiLevelType w:val="multilevel"/>
    <w:tmpl w:val="B5E306ED"/>
    <w:lvl w:ilvl="0" w:tentative="0">
      <w:start w:val="1"/>
      <w:numFmt w:val="decimal"/>
      <w:lvlText w:val="%1."/>
      <w:lvlJc w:val="left"/>
      <w:pPr>
        <w:ind w:left="220" w:hanging="560"/>
        <w:jc w:val="left"/>
      </w:pPr>
      <w:rPr>
        <w:rFonts w:hint="default" w:ascii="仿宋" w:hAnsi="仿宋" w:eastAsia="仿宋" w:cs="仿宋"/>
        <w:color w:val="202020"/>
        <w:spacing w:val="0"/>
        <w:w w:val="100"/>
        <w:sz w:val="28"/>
        <w:szCs w:val="28"/>
        <w:lang w:val="zh-CN" w:eastAsia="zh-CN" w:bidi="zh-CN"/>
      </w:rPr>
    </w:lvl>
    <w:lvl w:ilvl="1" w:tentative="0">
      <w:start w:val="1"/>
      <w:numFmt w:val="decimal"/>
      <w:lvlText w:val="%2."/>
      <w:lvlJc w:val="left"/>
      <w:pPr>
        <w:ind w:left="537" w:hanging="284"/>
        <w:jc w:val="left"/>
      </w:pPr>
      <w:rPr>
        <w:rFonts w:hint="default" w:ascii="仿宋" w:hAnsi="仿宋" w:eastAsia="仿宋" w:cs="仿宋"/>
        <w:color w:val="202020"/>
        <w:spacing w:val="-2"/>
        <w:w w:val="100"/>
        <w:sz w:val="26"/>
        <w:szCs w:val="26"/>
        <w:lang w:val="zh-CN" w:eastAsia="zh-CN" w:bidi="zh-CN"/>
      </w:rPr>
    </w:lvl>
    <w:lvl w:ilvl="2" w:tentative="0">
      <w:start w:val="0"/>
      <w:numFmt w:val="bullet"/>
      <w:lvlText w:val="•"/>
      <w:lvlJc w:val="left"/>
      <w:pPr>
        <w:ind w:left="1545" w:hanging="284"/>
      </w:pPr>
      <w:rPr>
        <w:rFonts w:hint="default"/>
        <w:lang w:val="zh-CN" w:eastAsia="zh-CN" w:bidi="zh-CN"/>
      </w:rPr>
    </w:lvl>
    <w:lvl w:ilvl="3" w:tentative="0">
      <w:start w:val="0"/>
      <w:numFmt w:val="bullet"/>
      <w:lvlText w:val="•"/>
      <w:lvlJc w:val="left"/>
      <w:pPr>
        <w:ind w:left="2551" w:hanging="284"/>
      </w:pPr>
      <w:rPr>
        <w:rFonts w:hint="default"/>
        <w:lang w:val="zh-CN" w:eastAsia="zh-CN" w:bidi="zh-CN"/>
      </w:rPr>
    </w:lvl>
    <w:lvl w:ilvl="4" w:tentative="0">
      <w:start w:val="0"/>
      <w:numFmt w:val="bullet"/>
      <w:lvlText w:val="•"/>
      <w:lvlJc w:val="left"/>
      <w:pPr>
        <w:ind w:left="3556" w:hanging="284"/>
      </w:pPr>
      <w:rPr>
        <w:rFonts w:hint="default"/>
        <w:lang w:val="zh-CN" w:eastAsia="zh-CN" w:bidi="zh-CN"/>
      </w:rPr>
    </w:lvl>
    <w:lvl w:ilvl="5" w:tentative="0">
      <w:start w:val="0"/>
      <w:numFmt w:val="bullet"/>
      <w:lvlText w:val="•"/>
      <w:lvlJc w:val="left"/>
      <w:pPr>
        <w:ind w:left="4562" w:hanging="284"/>
      </w:pPr>
      <w:rPr>
        <w:rFonts w:hint="default"/>
        <w:lang w:val="zh-CN" w:eastAsia="zh-CN" w:bidi="zh-CN"/>
      </w:rPr>
    </w:lvl>
    <w:lvl w:ilvl="6" w:tentative="0">
      <w:start w:val="0"/>
      <w:numFmt w:val="bullet"/>
      <w:lvlText w:val="•"/>
      <w:lvlJc w:val="left"/>
      <w:pPr>
        <w:ind w:left="5567" w:hanging="284"/>
      </w:pPr>
      <w:rPr>
        <w:rFonts w:hint="default"/>
        <w:lang w:val="zh-CN" w:eastAsia="zh-CN" w:bidi="zh-CN"/>
      </w:rPr>
    </w:lvl>
    <w:lvl w:ilvl="7" w:tentative="0">
      <w:start w:val="0"/>
      <w:numFmt w:val="bullet"/>
      <w:lvlText w:val="•"/>
      <w:lvlJc w:val="left"/>
      <w:pPr>
        <w:ind w:left="6573" w:hanging="284"/>
      </w:pPr>
      <w:rPr>
        <w:rFonts w:hint="default"/>
        <w:lang w:val="zh-CN" w:eastAsia="zh-CN" w:bidi="zh-CN"/>
      </w:rPr>
    </w:lvl>
    <w:lvl w:ilvl="8" w:tentative="0">
      <w:start w:val="0"/>
      <w:numFmt w:val="bullet"/>
      <w:lvlText w:val="•"/>
      <w:lvlJc w:val="left"/>
      <w:pPr>
        <w:ind w:left="7578" w:hanging="284"/>
      </w:pPr>
      <w:rPr>
        <w:rFonts w:hint="default"/>
        <w:lang w:val="zh-CN" w:eastAsia="zh-CN" w:bidi="zh-CN"/>
      </w:rPr>
    </w:lvl>
  </w:abstractNum>
  <w:abstractNum w:abstractNumId="3">
    <w:nsid w:val="BF205925"/>
    <w:multiLevelType w:val="multilevel"/>
    <w:tmpl w:val="BF205925"/>
    <w:lvl w:ilvl="0" w:tentative="0">
      <w:start w:val="1"/>
      <w:numFmt w:val="decimal"/>
      <w:lvlText w:val="%1."/>
      <w:lvlJc w:val="left"/>
      <w:pPr>
        <w:ind w:left="220" w:hanging="420"/>
        <w:jc w:val="left"/>
      </w:pPr>
      <w:rPr>
        <w:rFonts w:hint="default" w:ascii="仿宋" w:hAnsi="仿宋" w:eastAsia="仿宋" w:cs="仿宋"/>
        <w:color w:val="202020"/>
        <w:spacing w:val="0"/>
        <w:w w:val="100"/>
        <w:sz w:val="28"/>
        <w:szCs w:val="28"/>
        <w:lang w:val="zh-CN" w:eastAsia="zh-CN" w:bidi="zh-CN"/>
      </w:rPr>
    </w:lvl>
    <w:lvl w:ilvl="1" w:tentative="0">
      <w:start w:val="0"/>
      <w:numFmt w:val="bullet"/>
      <w:lvlText w:val="•"/>
      <w:lvlJc w:val="left"/>
      <w:pPr>
        <w:ind w:left="1157" w:hanging="420"/>
      </w:pPr>
      <w:rPr>
        <w:rFonts w:hint="default"/>
        <w:lang w:val="zh-CN" w:eastAsia="zh-CN" w:bidi="zh-CN"/>
      </w:rPr>
    </w:lvl>
    <w:lvl w:ilvl="2" w:tentative="0">
      <w:start w:val="0"/>
      <w:numFmt w:val="bullet"/>
      <w:lvlText w:val="•"/>
      <w:lvlJc w:val="left"/>
      <w:pPr>
        <w:ind w:left="2094" w:hanging="420"/>
      </w:pPr>
      <w:rPr>
        <w:rFonts w:hint="default"/>
        <w:lang w:val="zh-CN" w:eastAsia="zh-CN" w:bidi="zh-CN"/>
      </w:rPr>
    </w:lvl>
    <w:lvl w:ilvl="3" w:tentative="0">
      <w:start w:val="0"/>
      <w:numFmt w:val="bullet"/>
      <w:lvlText w:val="•"/>
      <w:lvlJc w:val="left"/>
      <w:pPr>
        <w:ind w:left="3031" w:hanging="420"/>
      </w:pPr>
      <w:rPr>
        <w:rFonts w:hint="default"/>
        <w:lang w:val="zh-CN" w:eastAsia="zh-CN" w:bidi="zh-CN"/>
      </w:rPr>
    </w:lvl>
    <w:lvl w:ilvl="4" w:tentative="0">
      <w:start w:val="0"/>
      <w:numFmt w:val="bullet"/>
      <w:lvlText w:val="•"/>
      <w:lvlJc w:val="left"/>
      <w:pPr>
        <w:ind w:left="3968" w:hanging="420"/>
      </w:pPr>
      <w:rPr>
        <w:rFonts w:hint="default"/>
        <w:lang w:val="zh-CN" w:eastAsia="zh-CN" w:bidi="zh-CN"/>
      </w:rPr>
    </w:lvl>
    <w:lvl w:ilvl="5" w:tentative="0">
      <w:start w:val="0"/>
      <w:numFmt w:val="bullet"/>
      <w:lvlText w:val="•"/>
      <w:lvlJc w:val="left"/>
      <w:pPr>
        <w:ind w:left="4905" w:hanging="420"/>
      </w:pPr>
      <w:rPr>
        <w:rFonts w:hint="default"/>
        <w:lang w:val="zh-CN" w:eastAsia="zh-CN" w:bidi="zh-CN"/>
      </w:rPr>
    </w:lvl>
    <w:lvl w:ilvl="6" w:tentative="0">
      <w:start w:val="0"/>
      <w:numFmt w:val="bullet"/>
      <w:lvlText w:val="•"/>
      <w:lvlJc w:val="left"/>
      <w:pPr>
        <w:ind w:left="5842" w:hanging="420"/>
      </w:pPr>
      <w:rPr>
        <w:rFonts w:hint="default"/>
        <w:lang w:val="zh-CN" w:eastAsia="zh-CN" w:bidi="zh-CN"/>
      </w:rPr>
    </w:lvl>
    <w:lvl w:ilvl="7" w:tentative="0">
      <w:start w:val="0"/>
      <w:numFmt w:val="bullet"/>
      <w:lvlText w:val="•"/>
      <w:lvlJc w:val="left"/>
      <w:pPr>
        <w:ind w:left="6779" w:hanging="420"/>
      </w:pPr>
      <w:rPr>
        <w:rFonts w:hint="default"/>
        <w:lang w:val="zh-CN" w:eastAsia="zh-CN" w:bidi="zh-CN"/>
      </w:rPr>
    </w:lvl>
    <w:lvl w:ilvl="8" w:tentative="0">
      <w:start w:val="0"/>
      <w:numFmt w:val="bullet"/>
      <w:lvlText w:val="•"/>
      <w:lvlJc w:val="left"/>
      <w:pPr>
        <w:ind w:left="7716" w:hanging="420"/>
      </w:pPr>
      <w:rPr>
        <w:rFonts w:hint="default"/>
        <w:lang w:val="zh-CN" w:eastAsia="zh-CN" w:bidi="zh-CN"/>
      </w:rPr>
    </w:lvl>
  </w:abstractNum>
  <w:abstractNum w:abstractNumId="4">
    <w:nsid w:val="C8879AEF"/>
    <w:multiLevelType w:val="multilevel"/>
    <w:tmpl w:val="C8879AEF"/>
    <w:lvl w:ilvl="0" w:tentative="0">
      <w:start w:val="1"/>
      <w:numFmt w:val="decimal"/>
      <w:lvlText w:val="（%1）"/>
      <w:lvlJc w:val="left"/>
      <w:pPr>
        <w:ind w:left="1702" w:hanging="702"/>
        <w:jc w:val="left"/>
      </w:pPr>
      <w:rPr>
        <w:rFonts w:hint="default" w:ascii="仿宋" w:hAnsi="仿宋" w:eastAsia="仿宋" w:cs="仿宋"/>
        <w:color w:val="202020"/>
        <w:spacing w:val="-3"/>
        <w:w w:val="100"/>
        <w:sz w:val="26"/>
        <w:szCs w:val="26"/>
        <w:lang w:val="zh-CN" w:eastAsia="zh-CN" w:bidi="zh-CN"/>
      </w:rPr>
    </w:lvl>
    <w:lvl w:ilvl="1" w:tentative="0">
      <w:start w:val="0"/>
      <w:numFmt w:val="bullet"/>
      <w:lvlText w:val="•"/>
      <w:lvlJc w:val="left"/>
      <w:pPr>
        <w:ind w:left="2489" w:hanging="702"/>
      </w:pPr>
      <w:rPr>
        <w:rFonts w:hint="default"/>
        <w:lang w:val="zh-CN" w:eastAsia="zh-CN" w:bidi="zh-CN"/>
      </w:rPr>
    </w:lvl>
    <w:lvl w:ilvl="2" w:tentative="0">
      <w:start w:val="0"/>
      <w:numFmt w:val="bullet"/>
      <w:lvlText w:val="•"/>
      <w:lvlJc w:val="left"/>
      <w:pPr>
        <w:ind w:left="3278" w:hanging="702"/>
      </w:pPr>
      <w:rPr>
        <w:rFonts w:hint="default"/>
        <w:lang w:val="zh-CN" w:eastAsia="zh-CN" w:bidi="zh-CN"/>
      </w:rPr>
    </w:lvl>
    <w:lvl w:ilvl="3" w:tentative="0">
      <w:start w:val="0"/>
      <w:numFmt w:val="bullet"/>
      <w:lvlText w:val="•"/>
      <w:lvlJc w:val="left"/>
      <w:pPr>
        <w:ind w:left="4067" w:hanging="702"/>
      </w:pPr>
      <w:rPr>
        <w:rFonts w:hint="default"/>
        <w:lang w:val="zh-CN" w:eastAsia="zh-CN" w:bidi="zh-CN"/>
      </w:rPr>
    </w:lvl>
    <w:lvl w:ilvl="4" w:tentative="0">
      <w:start w:val="0"/>
      <w:numFmt w:val="bullet"/>
      <w:lvlText w:val="•"/>
      <w:lvlJc w:val="left"/>
      <w:pPr>
        <w:ind w:left="4856" w:hanging="702"/>
      </w:pPr>
      <w:rPr>
        <w:rFonts w:hint="default"/>
        <w:lang w:val="zh-CN" w:eastAsia="zh-CN" w:bidi="zh-CN"/>
      </w:rPr>
    </w:lvl>
    <w:lvl w:ilvl="5" w:tentative="0">
      <w:start w:val="0"/>
      <w:numFmt w:val="bullet"/>
      <w:lvlText w:val="•"/>
      <w:lvlJc w:val="left"/>
      <w:pPr>
        <w:ind w:left="5645" w:hanging="702"/>
      </w:pPr>
      <w:rPr>
        <w:rFonts w:hint="default"/>
        <w:lang w:val="zh-CN" w:eastAsia="zh-CN" w:bidi="zh-CN"/>
      </w:rPr>
    </w:lvl>
    <w:lvl w:ilvl="6" w:tentative="0">
      <w:start w:val="0"/>
      <w:numFmt w:val="bullet"/>
      <w:lvlText w:val="•"/>
      <w:lvlJc w:val="left"/>
      <w:pPr>
        <w:ind w:left="6434" w:hanging="702"/>
      </w:pPr>
      <w:rPr>
        <w:rFonts w:hint="default"/>
        <w:lang w:val="zh-CN" w:eastAsia="zh-CN" w:bidi="zh-CN"/>
      </w:rPr>
    </w:lvl>
    <w:lvl w:ilvl="7" w:tentative="0">
      <w:start w:val="0"/>
      <w:numFmt w:val="bullet"/>
      <w:lvlText w:val="•"/>
      <w:lvlJc w:val="left"/>
      <w:pPr>
        <w:ind w:left="7223" w:hanging="702"/>
      </w:pPr>
      <w:rPr>
        <w:rFonts w:hint="default"/>
        <w:lang w:val="zh-CN" w:eastAsia="zh-CN" w:bidi="zh-CN"/>
      </w:rPr>
    </w:lvl>
    <w:lvl w:ilvl="8" w:tentative="0">
      <w:start w:val="0"/>
      <w:numFmt w:val="bullet"/>
      <w:lvlText w:val="•"/>
      <w:lvlJc w:val="left"/>
      <w:pPr>
        <w:ind w:left="8012" w:hanging="702"/>
      </w:pPr>
      <w:rPr>
        <w:rFonts w:hint="default"/>
        <w:lang w:val="zh-CN" w:eastAsia="zh-CN" w:bidi="zh-CN"/>
      </w:rPr>
    </w:lvl>
  </w:abstractNum>
  <w:abstractNum w:abstractNumId="5">
    <w:nsid w:val="CF092B84"/>
    <w:multiLevelType w:val="multilevel"/>
    <w:tmpl w:val="CF092B84"/>
    <w:lvl w:ilvl="0" w:tentative="0">
      <w:start w:val="0"/>
      <w:numFmt w:val="bullet"/>
      <w:lvlText w:val="❖"/>
      <w:lvlJc w:val="left"/>
      <w:pPr>
        <w:ind w:left="1062" w:hanging="282"/>
      </w:pPr>
      <w:rPr>
        <w:rFonts w:hint="default" w:ascii="MS UI Gothic" w:hAnsi="MS UI Gothic" w:eastAsia="MS UI Gothic" w:cs="MS UI Gothic"/>
        <w:b/>
        <w:bCs/>
        <w:color w:val="202020"/>
        <w:spacing w:val="-1"/>
        <w:w w:val="99"/>
        <w:sz w:val="26"/>
        <w:szCs w:val="26"/>
        <w:lang w:val="zh-CN" w:eastAsia="zh-CN" w:bidi="zh-CN"/>
      </w:rPr>
    </w:lvl>
    <w:lvl w:ilvl="1" w:tentative="0">
      <w:start w:val="0"/>
      <w:numFmt w:val="bullet"/>
      <w:lvlText w:val="❖"/>
      <w:lvlJc w:val="left"/>
      <w:pPr>
        <w:ind w:left="780" w:hanging="282"/>
      </w:pPr>
      <w:rPr>
        <w:rFonts w:hint="default" w:ascii="MS UI Gothic" w:hAnsi="MS UI Gothic" w:eastAsia="MS UI Gothic" w:cs="MS UI Gothic"/>
        <w:b/>
        <w:bCs/>
        <w:color w:val="202020"/>
        <w:spacing w:val="-1"/>
        <w:w w:val="99"/>
        <w:sz w:val="26"/>
        <w:szCs w:val="26"/>
        <w:lang w:val="zh-CN" w:eastAsia="zh-CN" w:bidi="zh-CN"/>
      </w:rPr>
    </w:lvl>
    <w:lvl w:ilvl="2" w:tentative="0">
      <w:start w:val="0"/>
      <w:numFmt w:val="bullet"/>
      <w:lvlText w:val="•"/>
      <w:lvlJc w:val="left"/>
      <w:pPr>
        <w:ind w:left="2007" w:hanging="282"/>
      </w:pPr>
      <w:rPr>
        <w:rFonts w:hint="default"/>
        <w:lang w:val="zh-CN" w:eastAsia="zh-CN" w:bidi="zh-CN"/>
      </w:rPr>
    </w:lvl>
    <w:lvl w:ilvl="3" w:tentative="0">
      <w:start w:val="0"/>
      <w:numFmt w:val="bullet"/>
      <w:lvlText w:val="•"/>
      <w:lvlJc w:val="left"/>
      <w:pPr>
        <w:ind w:left="2955" w:hanging="282"/>
      </w:pPr>
      <w:rPr>
        <w:rFonts w:hint="default"/>
        <w:lang w:val="zh-CN" w:eastAsia="zh-CN" w:bidi="zh-CN"/>
      </w:rPr>
    </w:lvl>
    <w:lvl w:ilvl="4" w:tentative="0">
      <w:start w:val="0"/>
      <w:numFmt w:val="bullet"/>
      <w:lvlText w:val="•"/>
      <w:lvlJc w:val="left"/>
      <w:pPr>
        <w:ind w:left="3903" w:hanging="282"/>
      </w:pPr>
      <w:rPr>
        <w:rFonts w:hint="default"/>
        <w:lang w:val="zh-CN" w:eastAsia="zh-CN" w:bidi="zh-CN"/>
      </w:rPr>
    </w:lvl>
    <w:lvl w:ilvl="5" w:tentative="0">
      <w:start w:val="0"/>
      <w:numFmt w:val="bullet"/>
      <w:lvlText w:val="•"/>
      <w:lvlJc w:val="left"/>
      <w:pPr>
        <w:ind w:left="4851" w:hanging="282"/>
      </w:pPr>
      <w:rPr>
        <w:rFonts w:hint="default"/>
        <w:lang w:val="zh-CN" w:eastAsia="zh-CN" w:bidi="zh-CN"/>
      </w:rPr>
    </w:lvl>
    <w:lvl w:ilvl="6" w:tentative="0">
      <w:start w:val="0"/>
      <w:numFmt w:val="bullet"/>
      <w:lvlText w:val="•"/>
      <w:lvlJc w:val="left"/>
      <w:pPr>
        <w:ind w:left="5798" w:hanging="282"/>
      </w:pPr>
      <w:rPr>
        <w:rFonts w:hint="default"/>
        <w:lang w:val="zh-CN" w:eastAsia="zh-CN" w:bidi="zh-CN"/>
      </w:rPr>
    </w:lvl>
    <w:lvl w:ilvl="7" w:tentative="0">
      <w:start w:val="0"/>
      <w:numFmt w:val="bullet"/>
      <w:lvlText w:val="•"/>
      <w:lvlJc w:val="left"/>
      <w:pPr>
        <w:ind w:left="6746" w:hanging="282"/>
      </w:pPr>
      <w:rPr>
        <w:rFonts w:hint="default"/>
        <w:lang w:val="zh-CN" w:eastAsia="zh-CN" w:bidi="zh-CN"/>
      </w:rPr>
    </w:lvl>
    <w:lvl w:ilvl="8" w:tentative="0">
      <w:start w:val="0"/>
      <w:numFmt w:val="bullet"/>
      <w:lvlText w:val="•"/>
      <w:lvlJc w:val="left"/>
      <w:pPr>
        <w:ind w:left="7694" w:hanging="282"/>
      </w:pPr>
      <w:rPr>
        <w:rFonts w:hint="default"/>
        <w:lang w:val="zh-CN" w:eastAsia="zh-CN" w:bidi="zh-CN"/>
      </w:rPr>
    </w:lvl>
  </w:abstractNum>
  <w:abstractNum w:abstractNumId="6">
    <w:nsid w:val="D7F9FE59"/>
    <w:multiLevelType w:val="multilevel"/>
    <w:tmpl w:val="D7F9FE59"/>
    <w:lvl w:ilvl="0" w:tentative="0">
      <w:start w:val="1"/>
      <w:numFmt w:val="decimal"/>
      <w:lvlText w:val="%1."/>
      <w:lvlJc w:val="left"/>
      <w:pPr>
        <w:ind w:left="220"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157" w:hanging="284"/>
      </w:pPr>
      <w:rPr>
        <w:rFonts w:hint="default"/>
        <w:lang w:val="zh-CN" w:eastAsia="zh-CN" w:bidi="zh-CN"/>
      </w:rPr>
    </w:lvl>
    <w:lvl w:ilvl="2" w:tentative="0">
      <w:start w:val="0"/>
      <w:numFmt w:val="bullet"/>
      <w:lvlText w:val="•"/>
      <w:lvlJc w:val="left"/>
      <w:pPr>
        <w:ind w:left="2094" w:hanging="284"/>
      </w:pPr>
      <w:rPr>
        <w:rFonts w:hint="default"/>
        <w:lang w:val="zh-CN" w:eastAsia="zh-CN" w:bidi="zh-CN"/>
      </w:rPr>
    </w:lvl>
    <w:lvl w:ilvl="3" w:tentative="0">
      <w:start w:val="0"/>
      <w:numFmt w:val="bullet"/>
      <w:lvlText w:val="•"/>
      <w:lvlJc w:val="left"/>
      <w:pPr>
        <w:ind w:left="3031" w:hanging="284"/>
      </w:pPr>
      <w:rPr>
        <w:rFonts w:hint="default"/>
        <w:lang w:val="zh-CN" w:eastAsia="zh-CN" w:bidi="zh-CN"/>
      </w:rPr>
    </w:lvl>
    <w:lvl w:ilvl="4" w:tentative="0">
      <w:start w:val="0"/>
      <w:numFmt w:val="bullet"/>
      <w:lvlText w:val="•"/>
      <w:lvlJc w:val="left"/>
      <w:pPr>
        <w:ind w:left="3968" w:hanging="284"/>
      </w:pPr>
      <w:rPr>
        <w:rFonts w:hint="default"/>
        <w:lang w:val="zh-CN" w:eastAsia="zh-CN" w:bidi="zh-CN"/>
      </w:rPr>
    </w:lvl>
    <w:lvl w:ilvl="5" w:tentative="0">
      <w:start w:val="0"/>
      <w:numFmt w:val="bullet"/>
      <w:lvlText w:val="•"/>
      <w:lvlJc w:val="left"/>
      <w:pPr>
        <w:ind w:left="4905" w:hanging="284"/>
      </w:pPr>
      <w:rPr>
        <w:rFonts w:hint="default"/>
        <w:lang w:val="zh-CN" w:eastAsia="zh-CN" w:bidi="zh-CN"/>
      </w:rPr>
    </w:lvl>
    <w:lvl w:ilvl="6" w:tentative="0">
      <w:start w:val="0"/>
      <w:numFmt w:val="bullet"/>
      <w:lvlText w:val="•"/>
      <w:lvlJc w:val="left"/>
      <w:pPr>
        <w:ind w:left="5842" w:hanging="284"/>
      </w:pPr>
      <w:rPr>
        <w:rFonts w:hint="default"/>
        <w:lang w:val="zh-CN" w:eastAsia="zh-CN" w:bidi="zh-CN"/>
      </w:rPr>
    </w:lvl>
    <w:lvl w:ilvl="7" w:tentative="0">
      <w:start w:val="0"/>
      <w:numFmt w:val="bullet"/>
      <w:lvlText w:val="•"/>
      <w:lvlJc w:val="left"/>
      <w:pPr>
        <w:ind w:left="6779" w:hanging="284"/>
      </w:pPr>
      <w:rPr>
        <w:rFonts w:hint="default"/>
        <w:lang w:val="zh-CN" w:eastAsia="zh-CN" w:bidi="zh-CN"/>
      </w:rPr>
    </w:lvl>
    <w:lvl w:ilvl="8" w:tentative="0">
      <w:start w:val="0"/>
      <w:numFmt w:val="bullet"/>
      <w:lvlText w:val="•"/>
      <w:lvlJc w:val="left"/>
      <w:pPr>
        <w:ind w:left="7716" w:hanging="284"/>
      </w:pPr>
      <w:rPr>
        <w:rFonts w:hint="default"/>
        <w:lang w:val="zh-CN" w:eastAsia="zh-CN" w:bidi="zh-CN"/>
      </w:rPr>
    </w:lvl>
  </w:abstractNum>
  <w:abstractNum w:abstractNumId="7">
    <w:nsid w:val="DCBA6B53"/>
    <w:multiLevelType w:val="multilevel"/>
    <w:tmpl w:val="DCBA6B53"/>
    <w:lvl w:ilvl="0" w:tentative="0">
      <w:start w:val="1"/>
      <w:numFmt w:val="decimal"/>
      <w:lvlText w:val="%1."/>
      <w:lvlJc w:val="left"/>
      <w:pPr>
        <w:ind w:left="220"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157" w:hanging="284"/>
      </w:pPr>
      <w:rPr>
        <w:rFonts w:hint="default"/>
        <w:lang w:val="zh-CN" w:eastAsia="zh-CN" w:bidi="zh-CN"/>
      </w:rPr>
    </w:lvl>
    <w:lvl w:ilvl="2" w:tentative="0">
      <w:start w:val="0"/>
      <w:numFmt w:val="bullet"/>
      <w:lvlText w:val="•"/>
      <w:lvlJc w:val="left"/>
      <w:pPr>
        <w:ind w:left="2094" w:hanging="284"/>
      </w:pPr>
      <w:rPr>
        <w:rFonts w:hint="default"/>
        <w:lang w:val="zh-CN" w:eastAsia="zh-CN" w:bidi="zh-CN"/>
      </w:rPr>
    </w:lvl>
    <w:lvl w:ilvl="3" w:tentative="0">
      <w:start w:val="0"/>
      <w:numFmt w:val="bullet"/>
      <w:lvlText w:val="•"/>
      <w:lvlJc w:val="left"/>
      <w:pPr>
        <w:ind w:left="3031" w:hanging="284"/>
      </w:pPr>
      <w:rPr>
        <w:rFonts w:hint="default"/>
        <w:lang w:val="zh-CN" w:eastAsia="zh-CN" w:bidi="zh-CN"/>
      </w:rPr>
    </w:lvl>
    <w:lvl w:ilvl="4" w:tentative="0">
      <w:start w:val="0"/>
      <w:numFmt w:val="bullet"/>
      <w:lvlText w:val="•"/>
      <w:lvlJc w:val="left"/>
      <w:pPr>
        <w:ind w:left="3968" w:hanging="284"/>
      </w:pPr>
      <w:rPr>
        <w:rFonts w:hint="default"/>
        <w:lang w:val="zh-CN" w:eastAsia="zh-CN" w:bidi="zh-CN"/>
      </w:rPr>
    </w:lvl>
    <w:lvl w:ilvl="5" w:tentative="0">
      <w:start w:val="0"/>
      <w:numFmt w:val="bullet"/>
      <w:lvlText w:val="•"/>
      <w:lvlJc w:val="left"/>
      <w:pPr>
        <w:ind w:left="4905" w:hanging="284"/>
      </w:pPr>
      <w:rPr>
        <w:rFonts w:hint="default"/>
        <w:lang w:val="zh-CN" w:eastAsia="zh-CN" w:bidi="zh-CN"/>
      </w:rPr>
    </w:lvl>
    <w:lvl w:ilvl="6" w:tentative="0">
      <w:start w:val="0"/>
      <w:numFmt w:val="bullet"/>
      <w:lvlText w:val="•"/>
      <w:lvlJc w:val="left"/>
      <w:pPr>
        <w:ind w:left="5842" w:hanging="284"/>
      </w:pPr>
      <w:rPr>
        <w:rFonts w:hint="default"/>
        <w:lang w:val="zh-CN" w:eastAsia="zh-CN" w:bidi="zh-CN"/>
      </w:rPr>
    </w:lvl>
    <w:lvl w:ilvl="7" w:tentative="0">
      <w:start w:val="0"/>
      <w:numFmt w:val="bullet"/>
      <w:lvlText w:val="•"/>
      <w:lvlJc w:val="left"/>
      <w:pPr>
        <w:ind w:left="6779" w:hanging="284"/>
      </w:pPr>
      <w:rPr>
        <w:rFonts w:hint="default"/>
        <w:lang w:val="zh-CN" w:eastAsia="zh-CN" w:bidi="zh-CN"/>
      </w:rPr>
    </w:lvl>
    <w:lvl w:ilvl="8" w:tentative="0">
      <w:start w:val="0"/>
      <w:numFmt w:val="bullet"/>
      <w:lvlText w:val="•"/>
      <w:lvlJc w:val="left"/>
      <w:pPr>
        <w:ind w:left="7716" w:hanging="284"/>
      </w:pPr>
      <w:rPr>
        <w:rFonts w:hint="default"/>
        <w:lang w:val="zh-CN" w:eastAsia="zh-CN" w:bidi="zh-CN"/>
      </w:rPr>
    </w:lvl>
  </w:abstractNum>
  <w:abstractNum w:abstractNumId="8">
    <w:nsid w:val="F4B5D9F5"/>
    <w:multiLevelType w:val="multilevel"/>
    <w:tmpl w:val="F4B5D9F5"/>
    <w:lvl w:ilvl="0" w:tentative="0">
      <w:start w:val="1"/>
      <w:numFmt w:val="decimal"/>
      <w:lvlText w:val="%1."/>
      <w:lvlJc w:val="left"/>
      <w:pPr>
        <w:ind w:left="220"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157" w:hanging="284"/>
      </w:pPr>
      <w:rPr>
        <w:rFonts w:hint="default"/>
        <w:lang w:val="zh-CN" w:eastAsia="zh-CN" w:bidi="zh-CN"/>
      </w:rPr>
    </w:lvl>
    <w:lvl w:ilvl="2" w:tentative="0">
      <w:start w:val="0"/>
      <w:numFmt w:val="bullet"/>
      <w:lvlText w:val="•"/>
      <w:lvlJc w:val="left"/>
      <w:pPr>
        <w:ind w:left="2094" w:hanging="284"/>
      </w:pPr>
      <w:rPr>
        <w:rFonts w:hint="default"/>
        <w:lang w:val="zh-CN" w:eastAsia="zh-CN" w:bidi="zh-CN"/>
      </w:rPr>
    </w:lvl>
    <w:lvl w:ilvl="3" w:tentative="0">
      <w:start w:val="0"/>
      <w:numFmt w:val="bullet"/>
      <w:lvlText w:val="•"/>
      <w:lvlJc w:val="left"/>
      <w:pPr>
        <w:ind w:left="3031" w:hanging="284"/>
      </w:pPr>
      <w:rPr>
        <w:rFonts w:hint="default"/>
        <w:lang w:val="zh-CN" w:eastAsia="zh-CN" w:bidi="zh-CN"/>
      </w:rPr>
    </w:lvl>
    <w:lvl w:ilvl="4" w:tentative="0">
      <w:start w:val="0"/>
      <w:numFmt w:val="bullet"/>
      <w:lvlText w:val="•"/>
      <w:lvlJc w:val="left"/>
      <w:pPr>
        <w:ind w:left="3968" w:hanging="284"/>
      </w:pPr>
      <w:rPr>
        <w:rFonts w:hint="default"/>
        <w:lang w:val="zh-CN" w:eastAsia="zh-CN" w:bidi="zh-CN"/>
      </w:rPr>
    </w:lvl>
    <w:lvl w:ilvl="5" w:tentative="0">
      <w:start w:val="0"/>
      <w:numFmt w:val="bullet"/>
      <w:lvlText w:val="•"/>
      <w:lvlJc w:val="left"/>
      <w:pPr>
        <w:ind w:left="4905" w:hanging="284"/>
      </w:pPr>
      <w:rPr>
        <w:rFonts w:hint="default"/>
        <w:lang w:val="zh-CN" w:eastAsia="zh-CN" w:bidi="zh-CN"/>
      </w:rPr>
    </w:lvl>
    <w:lvl w:ilvl="6" w:tentative="0">
      <w:start w:val="0"/>
      <w:numFmt w:val="bullet"/>
      <w:lvlText w:val="•"/>
      <w:lvlJc w:val="left"/>
      <w:pPr>
        <w:ind w:left="5842" w:hanging="284"/>
      </w:pPr>
      <w:rPr>
        <w:rFonts w:hint="default"/>
        <w:lang w:val="zh-CN" w:eastAsia="zh-CN" w:bidi="zh-CN"/>
      </w:rPr>
    </w:lvl>
    <w:lvl w:ilvl="7" w:tentative="0">
      <w:start w:val="0"/>
      <w:numFmt w:val="bullet"/>
      <w:lvlText w:val="•"/>
      <w:lvlJc w:val="left"/>
      <w:pPr>
        <w:ind w:left="6779" w:hanging="284"/>
      </w:pPr>
      <w:rPr>
        <w:rFonts w:hint="default"/>
        <w:lang w:val="zh-CN" w:eastAsia="zh-CN" w:bidi="zh-CN"/>
      </w:rPr>
    </w:lvl>
    <w:lvl w:ilvl="8" w:tentative="0">
      <w:start w:val="0"/>
      <w:numFmt w:val="bullet"/>
      <w:lvlText w:val="•"/>
      <w:lvlJc w:val="left"/>
      <w:pPr>
        <w:ind w:left="7716" w:hanging="284"/>
      </w:pPr>
      <w:rPr>
        <w:rFonts w:hint="default"/>
        <w:lang w:val="zh-CN" w:eastAsia="zh-CN" w:bidi="zh-CN"/>
      </w:rPr>
    </w:lvl>
  </w:abstractNum>
  <w:abstractNum w:abstractNumId="9">
    <w:nsid w:val="0053208E"/>
    <w:multiLevelType w:val="multilevel"/>
    <w:tmpl w:val="0053208E"/>
    <w:lvl w:ilvl="0" w:tentative="0">
      <w:start w:val="1"/>
      <w:numFmt w:val="decimal"/>
      <w:lvlText w:val="%1."/>
      <w:lvlJc w:val="left"/>
      <w:pPr>
        <w:ind w:left="1015" w:hanging="320"/>
        <w:jc w:val="left"/>
      </w:pPr>
      <w:rPr>
        <w:rFonts w:hint="default" w:ascii="仿宋" w:hAnsi="仿宋" w:eastAsia="仿宋" w:cs="仿宋"/>
        <w:w w:val="95"/>
        <w:sz w:val="21"/>
        <w:szCs w:val="21"/>
        <w:lang w:val="zh-CN" w:eastAsia="zh-CN" w:bidi="zh-CN"/>
      </w:rPr>
    </w:lvl>
    <w:lvl w:ilvl="1" w:tentative="0">
      <w:start w:val="0"/>
      <w:numFmt w:val="bullet"/>
      <w:lvlText w:val="❖"/>
      <w:lvlJc w:val="left"/>
      <w:pPr>
        <w:ind w:left="1414" w:hanging="282"/>
      </w:pPr>
      <w:rPr>
        <w:rFonts w:hint="default" w:ascii="MS UI Gothic" w:hAnsi="MS UI Gothic" w:eastAsia="MS UI Gothic" w:cs="MS UI Gothic"/>
        <w:b/>
        <w:bCs/>
        <w:color w:val="202020"/>
        <w:spacing w:val="-1"/>
        <w:w w:val="99"/>
        <w:sz w:val="26"/>
        <w:szCs w:val="26"/>
        <w:lang w:val="zh-CN" w:eastAsia="zh-CN" w:bidi="zh-CN"/>
      </w:rPr>
    </w:lvl>
    <w:lvl w:ilvl="2" w:tentative="0">
      <w:start w:val="0"/>
      <w:numFmt w:val="bullet"/>
      <w:lvlText w:val="•"/>
      <w:lvlJc w:val="left"/>
      <w:pPr>
        <w:ind w:left="2327" w:hanging="282"/>
      </w:pPr>
      <w:rPr>
        <w:rFonts w:hint="default"/>
        <w:lang w:val="zh-CN" w:eastAsia="zh-CN" w:bidi="zh-CN"/>
      </w:rPr>
    </w:lvl>
    <w:lvl w:ilvl="3" w:tentative="0">
      <w:start w:val="0"/>
      <w:numFmt w:val="bullet"/>
      <w:lvlText w:val="•"/>
      <w:lvlJc w:val="left"/>
      <w:pPr>
        <w:ind w:left="3235" w:hanging="282"/>
      </w:pPr>
      <w:rPr>
        <w:rFonts w:hint="default"/>
        <w:lang w:val="zh-CN" w:eastAsia="zh-CN" w:bidi="zh-CN"/>
      </w:rPr>
    </w:lvl>
    <w:lvl w:ilvl="4" w:tentative="0">
      <w:start w:val="0"/>
      <w:numFmt w:val="bullet"/>
      <w:lvlText w:val="•"/>
      <w:lvlJc w:val="left"/>
      <w:pPr>
        <w:ind w:left="4143" w:hanging="282"/>
      </w:pPr>
      <w:rPr>
        <w:rFonts w:hint="default"/>
        <w:lang w:val="zh-CN" w:eastAsia="zh-CN" w:bidi="zh-CN"/>
      </w:rPr>
    </w:lvl>
    <w:lvl w:ilvl="5" w:tentative="0">
      <w:start w:val="0"/>
      <w:numFmt w:val="bullet"/>
      <w:lvlText w:val="•"/>
      <w:lvlJc w:val="left"/>
      <w:pPr>
        <w:ind w:left="5051" w:hanging="282"/>
      </w:pPr>
      <w:rPr>
        <w:rFonts w:hint="default"/>
        <w:lang w:val="zh-CN" w:eastAsia="zh-CN" w:bidi="zh-CN"/>
      </w:rPr>
    </w:lvl>
    <w:lvl w:ilvl="6" w:tentative="0">
      <w:start w:val="0"/>
      <w:numFmt w:val="bullet"/>
      <w:lvlText w:val="•"/>
      <w:lvlJc w:val="left"/>
      <w:pPr>
        <w:ind w:left="5958" w:hanging="282"/>
      </w:pPr>
      <w:rPr>
        <w:rFonts w:hint="default"/>
        <w:lang w:val="zh-CN" w:eastAsia="zh-CN" w:bidi="zh-CN"/>
      </w:rPr>
    </w:lvl>
    <w:lvl w:ilvl="7" w:tentative="0">
      <w:start w:val="0"/>
      <w:numFmt w:val="bullet"/>
      <w:lvlText w:val="•"/>
      <w:lvlJc w:val="left"/>
      <w:pPr>
        <w:ind w:left="6866" w:hanging="282"/>
      </w:pPr>
      <w:rPr>
        <w:rFonts w:hint="default"/>
        <w:lang w:val="zh-CN" w:eastAsia="zh-CN" w:bidi="zh-CN"/>
      </w:rPr>
    </w:lvl>
    <w:lvl w:ilvl="8" w:tentative="0">
      <w:start w:val="0"/>
      <w:numFmt w:val="bullet"/>
      <w:lvlText w:val="•"/>
      <w:lvlJc w:val="left"/>
      <w:pPr>
        <w:ind w:left="7774" w:hanging="282"/>
      </w:pPr>
      <w:rPr>
        <w:rFonts w:hint="default"/>
        <w:lang w:val="zh-CN" w:eastAsia="zh-CN" w:bidi="zh-CN"/>
      </w:rPr>
    </w:lvl>
  </w:abstractNum>
  <w:abstractNum w:abstractNumId="10">
    <w:nsid w:val="0248C179"/>
    <w:multiLevelType w:val="multilevel"/>
    <w:tmpl w:val="0248C179"/>
    <w:lvl w:ilvl="0" w:tentative="0">
      <w:start w:val="7"/>
      <w:numFmt w:val="decimal"/>
      <w:lvlText w:val="%1."/>
      <w:lvlJc w:val="left"/>
      <w:pPr>
        <w:ind w:left="1120" w:hanging="281"/>
        <w:jc w:val="left"/>
      </w:pPr>
      <w:rPr>
        <w:rFonts w:hint="default" w:ascii="仿宋" w:hAnsi="仿宋" w:eastAsia="仿宋" w:cs="仿宋"/>
        <w:color w:val="202020"/>
        <w:spacing w:val="-2"/>
        <w:w w:val="100"/>
        <w:sz w:val="26"/>
        <w:szCs w:val="26"/>
        <w:lang w:val="zh-CN" w:eastAsia="zh-CN" w:bidi="zh-CN"/>
      </w:rPr>
    </w:lvl>
    <w:lvl w:ilvl="1" w:tentative="0">
      <w:start w:val="0"/>
      <w:numFmt w:val="bullet"/>
      <w:lvlText w:val="•"/>
      <w:lvlJc w:val="left"/>
      <w:pPr>
        <w:ind w:left="1967" w:hanging="281"/>
      </w:pPr>
      <w:rPr>
        <w:rFonts w:hint="default"/>
        <w:lang w:val="zh-CN" w:eastAsia="zh-CN" w:bidi="zh-CN"/>
      </w:rPr>
    </w:lvl>
    <w:lvl w:ilvl="2" w:tentative="0">
      <w:start w:val="0"/>
      <w:numFmt w:val="bullet"/>
      <w:lvlText w:val="•"/>
      <w:lvlJc w:val="left"/>
      <w:pPr>
        <w:ind w:left="2814" w:hanging="281"/>
      </w:pPr>
      <w:rPr>
        <w:rFonts w:hint="default"/>
        <w:lang w:val="zh-CN" w:eastAsia="zh-CN" w:bidi="zh-CN"/>
      </w:rPr>
    </w:lvl>
    <w:lvl w:ilvl="3" w:tentative="0">
      <w:start w:val="0"/>
      <w:numFmt w:val="bullet"/>
      <w:lvlText w:val="•"/>
      <w:lvlJc w:val="left"/>
      <w:pPr>
        <w:ind w:left="3661" w:hanging="281"/>
      </w:pPr>
      <w:rPr>
        <w:rFonts w:hint="default"/>
        <w:lang w:val="zh-CN" w:eastAsia="zh-CN" w:bidi="zh-CN"/>
      </w:rPr>
    </w:lvl>
    <w:lvl w:ilvl="4" w:tentative="0">
      <w:start w:val="0"/>
      <w:numFmt w:val="bullet"/>
      <w:lvlText w:val="•"/>
      <w:lvlJc w:val="left"/>
      <w:pPr>
        <w:ind w:left="4508" w:hanging="281"/>
      </w:pPr>
      <w:rPr>
        <w:rFonts w:hint="default"/>
        <w:lang w:val="zh-CN" w:eastAsia="zh-CN" w:bidi="zh-CN"/>
      </w:rPr>
    </w:lvl>
    <w:lvl w:ilvl="5" w:tentative="0">
      <w:start w:val="0"/>
      <w:numFmt w:val="bullet"/>
      <w:lvlText w:val="•"/>
      <w:lvlJc w:val="left"/>
      <w:pPr>
        <w:ind w:left="5355" w:hanging="281"/>
      </w:pPr>
      <w:rPr>
        <w:rFonts w:hint="default"/>
        <w:lang w:val="zh-CN" w:eastAsia="zh-CN" w:bidi="zh-CN"/>
      </w:rPr>
    </w:lvl>
    <w:lvl w:ilvl="6" w:tentative="0">
      <w:start w:val="0"/>
      <w:numFmt w:val="bullet"/>
      <w:lvlText w:val="•"/>
      <w:lvlJc w:val="left"/>
      <w:pPr>
        <w:ind w:left="6202" w:hanging="281"/>
      </w:pPr>
      <w:rPr>
        <w:rFonts w:hint="default"/>
        <w:lang w:val="zh-CN" w:eastAsia="zh-CN" w:bidi="zh-CN"/>
      </w:rPr>
    </w:lvl>
    <w:lvl w:ilvl="7" w:tentative="0">
      <w:start w:val="0"/>
      <w:numFmt w:val="bullet"/>
      <w:lvlText w:val="•"/>
      <w:lvlJc w:val="left"/>
      <w:pPr>
        <w:ind w:left="7049" w:hanging="281"/>
      </w:pPr>
      <w:rPr>
        <w:rFonts w:hint="default"/>
        <w:lang w:val="zh-CN" w:eastAsia="zh-CN" w:bidi="zh-CN"/>
      </w:rPr>
    </w:lvl>
    <w:lvl w:ilvl="8" w:tentative="0">
      <w:start w:val="0"/>
      <w:numFmt w:val="bullet"/>
      <w:lvlText w:val="•"/>
      <w:lvlJc w:val="left"/>
      <w:pPr>
        <w:ind w:left="7896" w:hanging="281"/>
      </w:pPr>
      <w:rPr>
        <w:rFonts w:hint="default"/>
        <w:lang w:val="zh-CN" w:eastAsia="zh-CN" w:bidi="zh-CN"/>
      </w:rPr>
    </w:lvl>
  </w:abstractNum>
  <w:abstractNum w:abstractNumId="11">
    <w:nsid w:val="03D62ECE"/>
    <w:multiLevelType w:val="multilevel"/>
    <w:tmpl w:val="03D62ECE"/>
    <w:lvl w:ilvl="0" w:tentative="0">
      <w:start w:val="1"/>
      <w:numFmt w:val="decimal"/>
      <w:lvlText w:val="%1."/>
      <w:lvlJc w:val="left"/>
      <w:pPr>
        <w:ind w:left="1120" w:hanging="281"/>
        <w:jc w:val="left"/>
      </w:pPr>
      <w:rPr>
        <w:rFonts w:hint="default" w:ascii="仿宋" w:hAnsi="仿宋" w:eastAsia="仿宋" w:cs="仿宋"/>
        <w:color w:val="202020"/>
        <w:spacing w:val="-2"/>
        <w:w w:val="100"/>
        <w:sz w:val="26"/>
        <w:szCs w:val="26"/>
        <w:lang w:val="zh-CN" w:eastAsia="zh-CN" w:bidi="zh-CN"/>
      </w:rPr>
    </w:lvl>
    <w:lvl w:ilvl="1" w:tentative="0">
      <w:start w:val="0"/>
      <w:numFmt w:val="bullet"/>
      <w:lvlText w:val="•"/>
      <w:lvlJc w:val="left"/>
      <w:pPr>
        <w:ind w:left="1967" w:hanging="281"/>
      </w:pPr>
      <w:rPr>
        <w:rFonts w:hint="default"/>
        <w:lang w:val="zh-CN" w:eastAsia="zh-CN" w:bidi="zh-CN"/>
      </w:rPr>
    </w:lvl>
    <w:lvl w:ilvl="2" w:tentative="0">
      <w:start w:val="0"/>
      <w:numFmt w:val="bullet"/>
      <w:lvlText w:val="•"/>
      <w:lvlJc w:val="left"/>
      <w:pPr>
        <w:ind w:left="2814" w:hanging="281"/>
      </w:pPr>
      <w:rPr>
        <w:rFonts w:hint="default"/>
        <w:lang w:val="zh-CN" w:eastAsia="zh-CN" w:bidi="zh-CN"/>
      </w:rPr>
    </w:lvl>
    <w:lvl w:ilvl="3" w:tentative="0">
      <w:start w:val="0"/>
      <w:numFmt w:val="bullet"/>
      <w:lvlText w:val="•"/>
      <w:lvlJc w:val="left"/>
      <w:pPr>
        <w:ind w:left="3661" w:hanging="281"/>
      </w:pPr>
      <w:rPr>
        <w:rFonts w:hint="default"/>
        <w:lang w:val="zh-CN" w:eastAsia="zh-CN" w:bidi="zh-CN"/>
      </w:rPr>
    </w:lvl>
    <w:lvl w:ilvl="4" w:tentative="0">
      <w:start w:val="0"/>
      <w:numFmt w:val="bullet"/>
      <w:lvlText w:val="•"/>
      <w:lvlJc w:val="left"/>
      <w:pPr>
        <w:ind w:left="4508" w:hanging="281"/>
      </w:pPr>
      <w:rPr>
        <w:rFonts w:hint="default"/>
        <w:lang w:val="zh-CN" w:eastAsia="zh-CN" w:bidi="zh-CN"/>
      </w:rPr>
    </w:lvl>
    <w:lvl w:ilvl="5" w:tentative="0">
      <w:start w:val="0"/>
      <w:numFmt w:val="bullet"/>
      <w:lvlText w:val="•"/>
      <w:lvlJc w:val="left"/>
      <w:pPr>
        <w:ind w:left="5355" w:hanging="281"/>
      </w:pPr>
      <w:rPr>
        <w:rFonts w:hint="default"/>
        <w:lang w:val="zh-CN" w:eastAsia="zh-CN" w:bidi="zh-CN"/>
      </w:rPr>
    </w:lvl>
    <w:lvl w:ilvl="6" w:tentative="0">
      <w:start w:val="0"/>
      <w:numFmt w:val="bullet"/>
      <w:lvlText w:val="•"/>
      <w:lvlJc w:val="left"/>
      <w:pPr>
        <w:ind w:left="6202" w:hanging="281"/>
      </w:pPr>
      <w:rPr>
        <w:rFonts w:hint="default"/>
        <w:lang w:val="zh-CN" w:eastAsia="zh-CN" w:bidi="zh-CN"/>
      </w:rPr>
    </w:lvl>
    <w:lvl w:ilvl="7" w:tentative="0">
      <w:start w:val="0"/>
      <w:numFmt w:val="bullet"/>
      <w:lvlText w:val="•"/>
      <w:lvlJc w:val="left"/>
      <w:pPr>
        <w:ind w:left="7049" w:hanging="281"/>
      </w:pPr>
      <w:rPr>
        <w:rFonts w:hint="default"/>
        <w:lang w:val="zh-CN" w:eastAsia="zh-CN" w:bidi="zh-CN"/>
      </w:rPr>
    </w:lvl>
    <w:lvl w:ilvl="8" w:tentative="0">
      <w:start w:val="0"/>
      <w:numFmt w:val="bullet"/>
      <w:lvlText w:val="•"/>
      <w:lvlJc w:val="left"/>
      <w:pPr>
        <w:ind w:left="7896" w:hanging="281"/>
      </w:pPr>
      <w:rPr>
        <w:rFonts w:hint="default"/>
        <w:lang w:val="zh-CN" w:eastAsia="zh-CN" w:bidi="zh-CN"/>
      </w:rPr>
    </w:lvl>
  </w:abstractNum>
  <w:abstractNum w:abstractNumId="12">
    <w:nsid w:val="0E640482"/>
    <w:multiLevelType w:val="multilevel"/>
    <w:tmpl w:val="0E640482"/>
    <w:lvl w:ilvl="0" w:tentative="0">
      <w:start w:val="1"/>
      <w:numFmt w:val="decimal"/>
      <w:lvlText w:val="%1."/>
      <w:lvlJc w:val="left"/>
      <w:pPr>
        <w:ind w:left="1063"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913" w:hanging="284"/>
      </w:pPr>
      <w:rPr>
        <w:rFonts w:hint="default"/>
        <w:lang w:val="zh-CN" w:eastAsia="zh-CN" w:bidi="zh-CN"/>
      </w:rPr>
    </w:lvl>
    <w:lvl w:ilvl="2" w:tentative="0">
      <w:start w:val="0"/>
      <w:numFmt w:val="bullet"/>
      <w:lvlText w:val="•"/>
      <w:lvlJc w:val="left"/>
      <w:pPr>
        <w:ind w:left="2766" w:hanging="284"/>
      </w:pPr>
      <w:rPr>
        <w:rFonts w:hint="default"/>
        <w:lang w:val="zh-CN" w:eastAsia="zh-CN" w:bidi="zh-CN"/>
      </w:rPr>
    </w:lvl>
    <w:lvl w:ilvl="3" w:tentative="0">
      <w:start w:val="0"/>
      <w:numFmt w:val="bullet"/>
      <w:lvlText w:val="•"/>
      <w:lvlJc w:val="left"/>
      <w:pPr>
        <w:ind w:left="3619" w:hanging="284"/>
      </w:pPr>
      <w:rPr>
        <w:rFonts w:hint="default"/>
        <w:lang w:val="zh-CN" w:eastAsia="zh-CN" w:bidi="zh-CN"/>
      </w:rPr>
    </w:lvl>
    <w:lvl w:ilvl="4" w:tentative="0">
      <w:start w:val="0"/>
      <w:numFmt w:val="bullet"/>
      <w:lvlText w:val="•"/>
      <w:lvlJc w:val="left"/>
      <w:pPr>
        <w:ind w:left="4472" w:hanging="284"/>
      </w:pPr>
      <w:rPr>
        <w:rFonts w:hint="default"/>
        <w:lang w:val="zh-CN" w:eastAsia="zh-CN" w:bidi="zh-CN"/>
      </w:rPr>
    </w:lvl>
    <w:lvl w:ilvl="5" w:tentative="0">
      <w:start w:val="0"/>
      <w:numFmt w:val="bullet"/>
      <w:lvlText w:val="•"/>
      <w:lvlJc w:val="left"/>
      <w:pPr>
        <w:ind w:left="5325" w:hanging="284"/>
      </w:pPr>
      <w:rPr>
        <w:rFonts w:hint="default"/>
        <w:lang w:val="zh-CN" w:eastAsia="zh-CN" w:bidi="zh-CN"/>
      </w:rPr>
    </w:lvl>
    <w:lvl w:ilvl="6" w:tentative="0">
      <w:start w:val="0"/>
      <w:numFmt w:val="bullet"/>
      <w:lvlText w:val="•"/>
      <w:lvlJc w:val="left"/>
      <w:pPr>
        <w:ind w:left="6178" w:hanging="284"/>
      </w:pPr>
      <w:rPr>
        <w:rFonts w:hint="default"/>
        <w:lang w:val="zh-CN" w:eastAsia="zh-CN" w:bidi="zh-CN"/>
      </w:rPr>
    </w:lvl>
    <w:lvl w:ilvl="7" w:tentative="0">
      <w:start w:val="0"/>
      <w:numFmt w:val="bullet"/>
      <w:lvlText w:val="•"/>
      <w:lvlJc w:val="left"/>
      <w:pPr>
        <w:ind w:left="7031" w:hanging="284"/>
      </w:pPr>
      <w:rPr>
        <w:rFonts w:hint="default"/>
        <w:lang w:val="zh-CN" w:eastAsia="zh-CN" w:bidi="zh-CN"/>
      </w:rPr>
    </w:lvl>
    <w:lvl w:ilvl="8" w:tentative="0">
      <w:start w:val="0"/>
      <w:numFmt w:val="bullet"/>
      <w:lvlText w:val="•"/>
      <w:lvlJc w:val="left"/>
      <w:pPr>
        <w:ind w:left="7884" w:hanging="284"/>
      </w:pPr>
      <w:rPr>
        <w:rFonts w:hint="default"/>
        <w:lang w:val="zh-CN" w:eastAsia="zh-CN" w:bidi="zh-CN"/>
      </w:rPr>
    </w:lvl>
  </w:abstractNum>
  <w:abstractNum w:abstractNumId="13">
    <w:nsid w:val="2470EC97"/>
    <w:multiLevelType w:val="multilevel"/>
    <w:tmpl w:val="2470EC97"/>
    <w:lvl w:ilvl="0" w:tentative="0">
      <w:start w:val="1"/>
      <w:numFmt w:val="decimal"/>
      <w:lvlText w:val="%1."/>
      <w:lvlJc w:val="left"/>
      <w:pPr>
        <w:ind w:left="220"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157" w:hanging="284"/>
      </w:pPr>
      <w:rPr>
        <w:rFonts w:hint="default"/>
        <w:lang w:val="zh-CN" w:eastAsia="zh-CN" w:bidi="zh-CN"/>
      </w:rPr>
    </w:lvl>
    <w:lvl w:ilvl="2" w:tentative="0">
      <w:start w:val="0"/>
      <w:numFmt w:val="bullet"/>
      <w:lvlText w:val="•"/>
      <w:lvlJc w:val="left"/>
      <w:pPr>
        <w:ind w:left="2094" w:hanging="284"/>
      </w:pPr>
      <w:rPr>
        <w:rFonts w:hint="default"/>
        <w:lang w:val="zh-CN" w:eastAsia="zh-CN" w:bidi="zh-CN"/>
      </w:rPr>
    </w:lvl>
    <w:lvl w:ilvl="3" w:tentative="0">
      <w:start w:val="0"/>
      <w:numFmt w:val="bullet"/>
      <w:lvlText w:val="•"/>
      <w:lvlJc w:val="left"/>
      <w:pPr>
        <w:ind w:left="3031" w:hanging="284"/>
      </w:pPr>
      <w:rPr>
        <w:rFonts w:hint="default"/>
        <w:lang w:val="zh-CN" w:eastAsia="zh-CN" w:bidi="zh-CN"/>
      </w:rPr>
    </w:lvl>
    <w:lvl w:ilvl="4" w:tentative="0">
      <w:start w:val="0"/>
      <w:numFmt w:val="bullet"/>
      <w:lvlText w:val="•"/>
      <w:lvlJc w:val="left"/>
      <w:pPr>
        <w:ind w:left="3968" w:hanging="284"/>
      </w:pPr>
      <w:rPr>
        <w:rFonts w:hint="default"/>
        <w:lang w:val="zh-CN" w:eastAsia="zh-CN" w:bidi="zh-CN"/>
      </w:rPr>
    </w:lvl>
    <w:lvl w:ilvl="5" w:tentative="0">
      <w:start w:val="0"/>
      <w:numFmt w:val="bullet"/>
      <w:lvlText w:val="•"/>
      <w:lvlJc w:val="left"/>
      <w:pPr>
        <w:ind w:left="4905" w:hanging="284"/>
      </w:pPr>
      <w:rPr>
        <w:rFonts w:hint="default"/>
        <w:lang w:val="zh-CN" w:eastAsia="zh-CN" w:bidi="zh-CN"/>
      </w:rPr>
    </w:lvl>
    <w:lvl w:ilvl="6" w:tentative="0">
      <w:start w:val="0"/>
      <w:numFmt w:val="bullet"/>
      <w:lvlText w:val="•"/>
      <w:lvlJc w:val="left"/>
      <w:pPr>
        <w:ind w:left="5842" w:hanging="284"/>
      </w:pPr>
      <w:rPr>
        <w:rFonts w:hint="default"/>
        <w:lang w:val="zh-CN" w:eastAsia="zh-CN" w:bidi="zh-CN"/>
      </w:rPr>
    </w:lvl>
    <w:lvl w:ilvl="7" w:tentative="0">
      <w:start w:val="0"/>
      <w:numFmt w:val="bullet"/>
      <w:lvlText w:val="•"/>
      <w:lvlJc w:val="left"/>
      <w:pPr>
        <w:ind w:left="6779" w:hanging="284"/>
      </w:pPr>
      <w:rPr>
        <w:rFonts w:hint="default"/>
        <w:lang w:val="zh-CN" w:eastAsia="zh-CN" w:bidi="zh-CN"/>
      </w:rPr>
    </w:lvl>
    <w:lvl w:ilvl="8" w:tentative="0">
      <w:start w:val="0"/>
      <w:numFmt w:val="bullet"/>
      <w:lvlText w:val="•"/>
      <w:lvlJc w:val="left"/>
      <w:pPr>
        <w:ind w:left="7716" w:hanging="284"/>
      </w:pPr>
      <w:rPr>
        <w:rFonts w:hint="default"/>
        <w:lang w:val="zh-CN" w:eastAsia="zh-CN" w:bidi="zh-CN"/>
      </w:rPr>
    </w:lvl>
  </w:abstractNum>
  <w:abstractNum w:abstractNumId="14">
    <w:nsid w:val="25B654F3"/>
    <w:multiLevelType w:val="multilevel"/>
    <w:tmpl w:val="25B654F3"/>
    <w:lvl w:ilvl="0" w:tentative="0">
      <w:start w:val="1"/>
      <w:numFmt w:val="decimal"/>
      <w:lvlText w:val="（%1）"/>
      <w:lvlJc w:val="left"/>
      <w:pPr>
        <w:ind w:left="220" w:hanging="723"/>
        <w:jc w:val="left"/>
      </w:pPr>
      <w:rPr>
        <w:rFonts w:hint="default" w:ascii="仿宋" w:hAnsi="仿宋" w:eastAsia="仿宋" w:cs="仿宋"/>
        <w:color w:val="202020"/>
        <w:spacing w:val="4"/>
        <w:w w:val="100"/>
        <w:sz w:val="26"/>
        <w:szCs w:val="26"/>
        <w:lang w:val="zh-CN" w:eastAsia="zh-CN" w:bidi="zh-CN"/>
      </w:rPr>
    </w:lvl>
    <w:lvl w:ilvl="1" w:tentative="0">
      <w:start w:val="0"/>
      <w:numFmt w:val="bullet"/>
      <w:lvlText w:val="•"/>
      <w:lvlJc w:val="left"/>
      <w:pPr>
        <w:ind w:left="1157" w:hanging="723"/>
      </w:pPr>
      <w:rPr>
        <w:rFonts w:hint="default"/>
        <w:lang w:val="zh-CN" w:eastAsia="zh-CN" w:bidi="zh-CN"/>
      </w:rPr>
    </w:lvl>
    <w:lvl w:ilvl="2" w:tentative="0">
      <w:start w:val="0"/>
      <w:numFmt w:val="bullet"/>
      <w:lvlText w:val="•"/>
      <w:lvlJc w:val="left"/>
      <w:pPr>
        <w:ind w:left="2094" w:hanging="723"/>
      </w:pPr>
      <w:rPr>
        <w:rFonts w:hint="default"/>
        <w:lang w:val="zh-CN" w:eastAsia="zh-CN" w:bidi="zh-CN"/>
      </w:rPr>
    </w:lvl>
    <w:lvl w:ilvl="3" w:tentative="0">
      <w:start w:val="0"/>
      <w:numFmt w:val="bullet"/>
      <w:lvlText w:val="•"/>
      <w:lvlJc w:val="left"/>
      <w:pPr>
        <w:ind w:left="3031" w:hanging="723"/>
      </w:pPr>
      <w:rPr>
        <w:rFonts w:hint="default"/>
        <w:lang w:val="zh-CN" w:eastAsia="zh-CN" w:bidi="zh-CN"/>
      </w:rPr>
    </w:lvl>
    <w:lvl w:ilvl="4" w:tentative="0">
      <w:start w:val="0"/>
      <w:numFmt w:val="bullet"/>
      <w:lvlText w:val="•"/>
      <w:lvlJc w:val="left"/>
      <w:pPr>
        <w:ind w:left="3968" w:hanging="723"/>
      </w:pPr>
      <w:rPr>
        <w:rFonts w:hint="default"/>
        <w:lang w:val="zh-CN" w:eastAsia="zh-CN" w:bidi="zh-CN"/>
      </w:rPr>
    </w:lvl>
    <w:lvl w:ilvl="5" w:tentative="0">
      <w:start w:val="0"/>
      <w:numFmt w:val="bullet"/>
      <w:lvlText w:val="•"/>
      <w:lvlJc w:val="left"/>
      <w:pPr>
        <w:ind w:left="4905" w:hanging="723"/>
      </w:pPr>
      <w:rPr>
        <w:rFonts w:hint="default"/>
        <w:lang w:val="zh-CN" w:eastAsia="zh-CN" w:bidi="zh-CN"/>
      </w:rPr>
    </w:lvl>
    <w:lvl w:ilvl="6" w:tentative="0">
      <w:start w:val="0"/>
      <w:numFmt w:val="bullet"/>
      <w:lvlText w:val="•"/>
      <w:lvlJc w:val="left"/>
      <w:pPr>
        <w:ind w:left="5842" w:hanging="723"/>
      </w:pPr>
      <w:rPr>
        <w:rFonts w:hint="default"/>
        <w:lang w:val="zh-CN" w:eastAsia="zh-CN" w:bidi="zh-CN"/>
      </w:rPr>
    </w:lvl>
    <w:lvl w:ilvl="7" w:tentative="0">
      <w:start w:val="0"/>
      <w:numFmt w:val="bullet"/>
      <w:lvlText w:val="•"/>
      <w:lvlJc w:val="left"/>
      <w:pPr>
        <w:ind w:left="6779" w:hanging="723"/>
      </w:pPr>
      <w:rPr>
        <w:rFonts w:hint="default"/>
        <w:lang w:val="zh-CN" w:eastAsia="zh-CN" w:bidi="zh-CN"/>
      </w:rPr>
    </w:lvl>
    <w:lvl w:ilvl="8" w:tentative="0">
      <w:start w:val="0"/>
      <w:numFmt w:val="bullet"/>
      <w:lvlText w:val="•"/>
      <w:lvlJc w:val="left"/>
      <w:pPr>
        <w:ind w:left="7716" w:hanging="723"/>
      </w:pPr>
      <w:rPr>
        <w:rFonts w:hint="default"/>
        <w:lang w:val="zh-CN" w:eastAsia="zh-CN" w:bidi="zh-CN"/>
      </w:rPr>
    </w:lvl>
  </w:abstractNum>
  <w:abstractNum w:abstractNumId="15">
    <w:nsid w:val="2A8F537B"/>
    <w:multiLevelType w:val="multilevel"/>
    <w:tmpl w:val="2A8F537B"/>
    <w:lvl w:ilvl="0" w:tentative="0">
      <w:start w:val="13"/>
      <w:numFmt w:val="decimal"/>
      <w:lvlText w:val="%1."/>
      <w:lvlJc w:val="left"/>
      <w:pPr>
        <w:ind w:left="1262" w:hanging="423"/>
        <w:jc w:val="left"/>
      </w:pPr>
      <w:rPr>
        <w:rFonts w:hint="default" w:ascii="仿宋" w:hAnsi="仿宋" w:eastAsia="仿宋" w:cs="仿宋"/>
        <w:color w:val="202020"/>
        <w:spacing w:val="-2"/>
        <w:w w:val="100"/>
        <w:sz w:val="26"/>
        <w:szCs w:val="26"/>
        <w:lang w:val="zh-CN" w:eastAsia="zh-CN" w:bidi="zh-CN"/>
      </w:rPr>
    </w:lvl>
    <w:lvl w:ilvl="1" w:tentative="0">
      <w:start w:val="1"/>
      <w:numFmt w:val="decimal"/>
      <w:lvlText w:val="%2."/>
      <w:lvlJc w:val="left"/>
      <w:pPr>
        <w:ind w:left="439" w:hanging="281"/>
        <w:jc w:val="left"/>
      </w:pPr>
      <w:rPr>
        <w:rFonts w:hint="default" w:ascii="仿宋" w:hAnsi="仿宋" w:eastAsia="仿宋" w:cs="仿宋"/>
        <w:color w:val="202020"/>
        <w:spacing w:val="-2"/>
        <w:w w:val="100"/>
        <w:sz w:val="26"/>
        <w:szCs w:val="26"/>
        <w:lang w:val="zh-CN" w:eastAsia="zh-CN" w:bidi="zh-CN"/>
      </w:rPr>
    </w:lvl>
    <w:lvl w:ilvl="2" w:tentative="0">
      <w:start w:val="0"/>
      <w:numFmt w:val="bullet"/>
      <w:lvlText w:val="•"/>
      <w:lvlJc w:val="left"/>
      <w:pPr>
        <w:ind w:left="2185" w:hanging="281"/>
      </w:pPr>
      <w:rPr>
        <w:rFonts w:hint="default"/>
        <w:lang w:val="zh-CN" w:eastAsia="zh-CN" w:bidi="zh-CN"/>
      </w:rPr>
    </w:lvl>
    <w:lvl w:ilvl="3" w:tentative="0">
      <w:start w:val="0"/>
      <w:numFmt w:val="bullet"/>
      <w:lvlText w:val="•"/>
      <w:lvlJc w:val="left"/>
      <w:pPr>
        <w:ind w:left="3111" w:hanging="281"/>
      </w:pPr>
      <w:rPr>
        <w:rFonts w:hint="default"/>
        <w:lang w:val="zh-CN" w:eastAsia="zh-CN" w:bidi="zh-CN"/>
      </w:rPr>
    </w:lvl>
    <w:lvl w:ilvl="4" w:tentative="0">
      <w:start w:val="0"/>
      <w:numFmt w:val="bullet"/>
      <w:lvlText w:val="•"/>
      <w:lvlJc w:val="left"/>
      <w:pPr>
        <w:ind w:left="4036" w:hanging="281"/>
      </w:pPr>
      <w:rPr>
        <w:rFonts w:hint="default"/>
        <w:lang w:val="zh-CN" w:eastAsia="zh-CN" w:bidi="zh-CN"/>
      </w:rPr>
    </w:lvl>
    <w:lvl w:ilvl="5" w:tentative="0">
      <w:start w:val="0"/>
      <w:numFmt w:val="bullet"/>
      <w:lvlText w:val="•"/>
      <w:lvlJc w:val="left"/>
      <w:pPr>
        <w:ind w:left="4962" w:hanging="281"/>
      </w:pPr>
      <w:rPr>
        <w:rFonts w:hint="default"/>
        <w:lang w:val="zh-CN" w:eastAsia="zh-CN" w:bidi="zh-CN"/>
      </w:rPr>
    </w:lvl>
    <w:lvl w:ilvl="6" w:tentative="0">
      <w:start w:val="0"/>
      <w:numFmt w:val="bullet"/>
      <w:lvlText w:val="•"/>
      <w:lvlJc w:val="left"/>
      <w:pPr>
        <w:ind w:left="5887" w:hanging="281"/>
      </w:pPr>
      <w:rPr>
        <w:rFonts w:hint="default"/>
        <w:lang w:val="zh-CN" w:eastAsia="zh-CN" w:bidi="zh-CN"/>
      </w:rPr>
    </w:lvl>
    <w:lvl w:ilvl="7" w:tentative="0">
      <w:start w:val="0"/>
      <w:numFmt w:val="bullet"/>
      <w:lvlText w:val="•"/>
      <w:lvlJc w:val="left"/>
      <w:pPr>
        <w:ind w:left="6813" w:hanging="281"/>
      </w:pPr>
      <w:rPr>
        <w:rFonts w:hint="default"/>
        <w:lang w:val="zh-CN" w:eastAsia="zh-CN" w:bidi="zh-CN"/>
      </w:rPr>
    </w:lvl>
    <w:lvl w:ilvl="8" w:tentative="0">
      <w:start w:val="0"/>
      <w:numFmt w:val="bullet"/>
      <w:lvlText w:val="•"/>
      <w:lvlJc w:val="left"/>
      <w:pPr>
        <w:ind w:left="7738" w:hanging="281"/>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063"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913" w:hanging="284"/>
      </w:pPr>
      <w:rPr>
        <w:rFonts w:hint="default"/>
        <w:lang w:val="zh-CN" w:eastAsia="zh-CN" w:bidi="zh-CN"/>
      </w:rPr>
    </w:lvl>
    <w:lvl w:ilvl="2" w:tentative="0">
      <w:start w:val="0"/>
      <w:numFmt w:val="bullet"/>
      <w:lvlText w:val="•"/>
      <w:lvlJc w:val="left"/>
      <w:pPr>
        <w:ind w:left="2766" w:hanging="284"/>
      </w:pPr>
      <w:rPr>
        <w:rFonts w:hint="default"/>
        <w:lang w:val="zh-CN" w:eastAsia="zh-CN" w:bidi="zh-CN"/>
      </w:rPr>
    </w:lvl>
    <w:lvl w:ilvl="3" w:tentative="0">
      <w:start w:val="0"/>
      <w:numFmt w:val="bullet"/>
      <w:lvlText w:val="•"/>
      <w:lvlJc w:val="left"/>
      <w:pPr>
        <w:ind w:left="3619" w:hanging="284"/>
      </w:pPr>
      <w:rPr>
        <w:rFonts w:hint="default"/>
        <w:lang w:val="zh-CN" w:eastAsia="zh-CN" w:bidi="zh-CN"/>
      </w:rPr>
    </w:lvl>
    <w:lvl w:ilvl="4" w:tentative="0">
      <w:start w:val="0"/>
      <w:numFmt w:val="bullet"/>
      <w:lvlText w:val="•"/>
      <w:lvlJc w:val="left"/>
      <w:pPr>
        <w:ind w:left="4472" w:hanging="284"/>
      </w:pPr>
      <w:rPr>
        <w:rFonts w:hint="default"/>
        <w:lang w:val="zh-CN" w:eastAsia="zh-CN" w:bidi="zh-CN"/>
      </w:rPr>
    </w:lvl>
    <w:lvl w:ilvl="5" w:tentative="0">
      <w:start w:val="0"/>
      <w:numFmt w:val="bullet"/>
      <w:lvlText w:val="•"/>
      <w:lvlJc w:val="left"/>
      <w:pPr>
        <w:ind w:left="5325" w:hanging="284"/>
      </w:pPr>
      <w:rPr>
        <w:rFonts w:hint="default"/>
        <w:lang w:val="zh-CN" w:eastAsia="zh-CN" w:bidi="zh-CN"/>
      </w:rPr>
    </w:lvl>
    <w:lvl w:ilvl="6" w:tentative="0">
      <w:start w:val="0"/>
      <w:numFmt w:val="bullet"/>
      <w:lvlText w:val="•"/>
      <w:lvlJc w:val="left"/>
      <w:pPr>
        <w:ind w:left="6178" w:hanging="284"/>
      </w:pPr>
      <w:rPr>
        <w:rFonts w:hint="default"/>
        <w:lang w:val="zh-CN" w:eastAsia="zh-CN" w:bidi="zh-CN"/>
      </w:rPr>
    </w:lvl>
    <w:lvl w:ilvl="7" w:tentative="0">
      <w:start w:val="0"/>
      <w:numFmt w:val="bullet"/>
      <w:lvlText w:val="•"/>
      <w:lvlJc w:val="left"/>
      <w:pPr>
        <w:ind w:left="7031" w:hanging="284"/>
      </w:pPr>
      <w:rPr>
        <w:rFonts w:hint="default"/>
        <w:lang w:val="zh-CN" w:eastAsia="zh-CN" w:bidi="zh-CN"/>
      </w:rPr>
    </w:lvl>
    <w:lvl w:ilvl="8" w:tentative="0">
      <w:start w:val="0"/>
      <w:numFmt w:val="bullet"/>
      <w:lvlText w:val="•"/>
      <w:lvlJc w:val="left"/>
      <w:pPr>
        <w:ind w:left="7884" w:hanging="284"/>
      </w:pPr>
      <w:rPr>
        <w:rFonts w:hint="default"/>
        <w:lang w:val="zh-CN" w:eastAsia="zh-CN" w:bidi="zh-CN"/>
      </w:rPr>
    </w:lvl>
  </w:abstractNum>
  <w:abstractNum w:abstractNumId="17">
    <w:nsid w:val="4C1BAE26"/>
    <w:multiLevelType w:val="multilevel"/>
    <w:tmpl w:val="4C1BAE26"/>
    <w:lvl w:ilvl="0" w:tentative="0">
      <w:start w:val="1"/>
      <w:numFmt w:val="decimal"/>
      <w:lvlText w:val="%1."/>
      <w:lvlJc w:val="left"/>
      <w:pPr>
        <w:ind w:left="1063"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913" w:hanging="284"/>
      </w:pPr>
      <w:rPr>
        <w:rFonts w:hint="default"/>
        <w:lang w:val="zh-CN" w:eastAsia="zh-CN" w:bidi="zh-CN"/>
      </w:rPr>
    </w:lvl>
    <w:lvl w:ilvl="2" w:tentative="0">
      <w:start w:val="0"/>
      <w:numFmt w:val="bullet"/>
      <w:lvlText w:val="•"/>
      <w:lvlJc w:val="left"/>
      <w:pPr>
        <w:ind w:left="2766" w:hanging="284"/>
      </w:pPr>
      <w:rPr>
        <w:rFonts w:hint="default"/>
        <w:lang w:val="zh-CN" w:eastAsia="zh-CN" w:bidi="zh-CN"/>
      </w:rPr>
    </w:lvl>
    <w:lvl w:ilvl="3" w:tentative="0">
      <w:start w:val="0"/>
      <w:numFmt w:val="bullet"/>
      <w:lvlText w:val="•"/>
      <w:lvlJc w:val="left"/>
      <w:pPr>
        <w:ind w:left="3619" w:hanging="284"/>
      </w:pPr>
      <w:rPr>
        <w:rFonts w:hint="default"/>
        <w:lang w:val="zh-CN" w:eastAsia="zh-CN" w:bidi="zh-CN"/>
      </w:rPr>
    </w:lvl>
    <w:lvl w:ilvl="4" w:tentative="0">
      <w:start w:val="0"/>
      <w:numFmt w:val="bullet"/>
      <w:lvlText w:val="•"/>
      <w:lvlJc w:val="left"/>
      <w:pPr>
        <w:ind w:left="4472" w:hanging="284"/>
      </w:pPr>
      <w:rPr>
        <w:rFonts w:hint="default"/>
        <w:lang w:val="zh-CN" w:eastAsia="zh-CN" w:bidi="zh-CN"/>
      </w:rPr>
    </w:lvl>
    <w:lvl w:ilvl="5" w:tentative="0">
      <w:start w:val="0"/>
      <w:numFmt w:val="bullet"/>
      <w:lvlText w:val="•"/>
      <w:lvlJc w:val="left"/>
      <w:pPr>
        <w:ind w:left="5325" w:hanging="284"/>
      </w:pPr>
      <w:rPr>
        <w:rFonts w:hint="default"/>
        <w:lang w:val="zh-CN" w:eastAsia="zh-CN" w:bidi="zh-CN"/>
      </w:rPr>
    </w:lvl>
    <w:lvl w:ilvl="6" w:tentative="0">
      <w:start w:val="0"/>
      <w:numFmt w:val="bullet"/>
      <w:lvlText w:val="•"/>
      <w:lvlJc w:val="left"/>
      <w:pPr>
        <w:ind w:left="6178" w:hanging="284"/>
      </w:pPr>
      <w:rPr>
        <w:rFonts w:hint="default"/>
        <w:lang w:val="zh-CN" w:eastAsia="zh-CN" w:bidi="zh-CN"/>
      </w:rPr>
    </w:lvl>
    <w:lvl w:ilvl="7" w:tentative="0">
      <w:start w:val="0"/>
      <w:numFmt w:val="bullet"/>
      <w:lvlText w:val="•"/>
      <w:lvlJc w:val="left"/>
      <w:pPr>
        <w:ind w:left="7031" w:hanging="284"/>
      </w:pPr>
      <w:rPr>
        <w:rFonts w:hint="default"/>
        <w:lang w:val="zh-CN" w:eastAsia="zh-CN" w:bidi="zh-CN"/>
      </w:rPr>
    </w:lvl>
    <w:lvl w:ilvl="8" w:tentative="0">
      <w:start w:val="0"/>
      <w:numFmt w:val="bullet"/>
      <w:lvlText w:val="•"/>
      <w:lvlJc w:val="left"/>
      <w:pPr>
        <w:ind w:left="7884" w:hanging="284"/>
      </w:pPr>
      <w:rPr>
        <w:rFonts w:hint="default"/>
        <w:lang w:val="zh-CN" w:eastAsia="zh-CN" w:bidi="zh-CN"/>
      </w:rPr>
    </w:lvl>
  </w:abstractNum>
  <w:abstractNum w:abstractNumId="18">
    <w:nsid w:val="4D4DC07F"/>
    <w:multiLevelType w:val="multilevel"/>
    <w:tmpl w:val="4D4DC07F"/>
    <w:lvl w:ilvl="0" w:tentative="0">
      <w:start w:val="1"/>
      <w:numFmt w:val="decimal"/>
      <w:lvlText w:val="%1."/>
      <w:lvlJc w:val="left"/>
      <w:pPr>
        <w:ind w:left="1063" w:hanging="284"/>
        <w:jc w:val="left"/>
      </w:pPr>
      <w:rPr>
        <w:rFonts w:hint="default" w:ascii="仿宋" w:hAnsi="仿宋" w:eastAsia="仿宋" w:cs="仿宋"/>
        <w:color w:val="202020"/>
        <w:spacing w:val="-2"/>
        <w:w w:val="100"/>
        <w:sz w:val="26"/>
        <w:szCs w:val="26"/>
        <w:lang w:val="zh-CN" w:eastAsia="zh-CN" w:bidi="zh-CN"/>
      </w:rPr>
    </w:lvl>
    <w:lvl w:ilvl="1" w:tentative="0">
      <w:start w:val="0"/>
      <w:numFmt w:val="bullet"/>
      <w:lvlText w:val="•"/>
      <w:lvlJc w:val="left"/>
      <w:pPr>
        <w:ind w:left="1913" w:hanging="284"/>
      </w:pPr>
      <w:rPr>
        <w:rFonts w:hint="default"/>
        <w:lang w:val="zh-CN" w:eastAsia="zh-CN" w:bidi="zh-CN"/>
      </w:rPr>
    </w:lvl>
    <w:lvl w:ilvl="2" w:tentative="0">
      <w:start w:val="0"/>
      <w:numFmt w:val="bullet"/>
      <w:lvlText w:val="•"/>
      <w:lvlJc w:val="left"/>
      <w:pPr>
        <w:ind w:left="2766" w:hanging="284"/>
      </w:pPr>
      <w:rPr>
        <w:rFonts w:hint="default"/>
        <w:lang w:val="zh-CN" w:eastAsia="zh-CN" w:bidi="zh-CN"/>
      </w:rPr>
    </w:lvl>
    <w:lvl w:ilvl="3" w:tentative="0">
      <w:start w:val="0"/>
      <w:numFmt w:val="bullet"/>
      <w:lvlText w:val="•"/>
      <w:lvlJc w:val="left"/>
      <w:pPr>
        <w:ind w:left="3619" w:hanging="284"/>
      </w:pPr>
      <w:rPr>
        <w:rFonts w:hint="default"/>
        <w:lang w:val="zh-CN" w:eastAsia="zh-CN" w:bidi="zh-CN"/>
      </w:rPr>
    </w:lvl>
    <w:lvl w:ilvl="4" w:tentative="0">
      <w:start w:val="0"/>
      <w:numFmt w:val="bullet"/>
      <w:lvlText w:val="•"/>
      <w:lvlJc w:val="left"/>
      <w:pPr>
        <w:ind w:left="4472" w:hanging="284"/>
      </w:pPr>
      <w:rPr>
        <w:rFonts w:hint="default"/>
        <w:lang w:val="zh-CN" w:eastAsia="zh-CN" w:bidi="zh-CN"/>
      </w:rPr>
    </w:lvl>
    <w:lvl w:ilvl="5" w:tentative="0">
      <w:start w:val="0"/>
      <w:numFmt w:val="bullet"/>
      <w:lvlText w:val="•"/>
      <w:lvlJc w:val="left"/>
      <w:pPr>
        <w:ind w:left="5325" w:hanging="284"/>
      </w:pPr>
      <w:rPr>
        <w:rFonts w:hint="default"/>
        <w:lang w:val="zh-CN" w:eastAsia="zh-CN" w:bidi="zh-CN"/>
      </w:rPr>
    </w:lvl>
    <w:lvl w:ilvl="6" w:tentative="0">
      <w:start w:val="0"/>
      <w:numFmt w:val="bullet"/>
      <w:lvlText w:val="•"/>
      <w:lvlJc w:val="left"/>
      <w:pPr>
        <w:ind w:left="6178" w:hanging="284"/>
      </w:pPr>
      <w:rPr>
        <w:rFonts w:hint="default"/>
        <w:lang w:val="zh-CN" w:eastAsia="zh-CN" w:bidi="zh-CN"/>
      </w:rPr>
    </w:lvl>
    <w:lvl w:ilvl="7" w:tentative="0">
      <w:start w:val="0"/>
      <w:numFmt w:val="bullet"/>
      <w:lvlText w:val="•"/>
      <w:lvlJc w:val="left"/>
      <w:pPr>
        <w:ind w:left="7031" w:hanging="284"/>
      </w:pPr>
      <w:rPr>
        <w:rFonts w:hint="default"/>
        <w:lang w:val="zh-CN" w:eastAsia="zh-CN" w:bidi="zh-CN"/>
      </w:rPr>
    </w:lvl>
    <w:lvl w:ilvl="8" w:tentative="0">
      <w:start w:val="0"/>
      <w:numFmt w:val="bullet"/>
      <w:lvlText w:val="•"/>
      <w:lvlJc w:val="left"/>
      <w:pPr>
        <w:ind w:left="7884" w:hanging="284"/>
      </w:pPr>
      <w:rPr>
        <w:rFonts w:hint="default"/>
        <w:lang w:val="zh-CN" w:eastAsia="zh-CN" w:bidi="zh-CN"/>
      </w:rPr>
    </w:lvl>
  </w:abstractNum>
  <w:abstractNum w:abstractNumId="19">
    <w:nsid w:val="59ADCABA"/>
    <w:multiLevelType w:val="multilevel"/>
    <w:tmpl w:val="59ADCABA"/>
    <w:lvl w:ilvl="0" w:tentative="0">
      <w:start w:val="1"/>
      <w:numFmt w:val="decimal"/>
      <w:lvlText w:val="%1."/>
      <w:lvlJc w:val="left"/>
      <w:pPr>
        <w:ind w:left="220" w:hanging="420"/>
        <w:jc w:val="left"/>
      </w:pPr>
      <w:rPr>
        <w:rFonts w:hint="default" w:ascii="仿宋" w:hAnsi="仿宋" w:eastAsia="仿宋" w:cs="仿宋"/>
        <w:spacing w:val="0"/>
        <w:w w:val="100"/>
        <w:sz w:val="28"/>
        <w:szCs w:val="28"/>
        <w:lang w:val="zh-CN" w:eastAsia="zh-CN" w:bidi="zh-CN"/>
      </w:rPr>
    </w:lvl>
    <w:lvl w:ilvl="1" w:tentative="0">
      <w:start w:val="1"/>
      <w:numFmt w:val="decimal"/>
      <w:lvlText w:val="%2."/>
      <w:lvlJc w:val="left"/>
      <w:pPr>
        <w:ind w:left="540" w:hanging="528"/>
        <w:jc w:val="left"/>
      </w:pPr>
      <w:rPr>
        <w:rFonts w:hint="default" w:ascii="仿宋" w:hAnsi="仿宋" w:eastAsia="仿宋" w:cs="仿宋"/>
        <w:color w:val="202020"/>
        <w:spacing w:val="0"/>
        <w:w w:val="99"/>
        <w:sz w:val="26"/>
        <w:szCs w:val="26"/>
        <w:lang w:val="zh-CN" w:eastAsia="zh-CN" w:bidi="zh-CN"/>
      </w:rPr>
    </w:lvl>
    <w:lvl w:ilvl="2" w:tentative="0">
      <w:start w:val="0"/>
      <w:numFmt w:val="bullet"/>
      <w:lvlText w:val="•"/>
      <w:lvlJc w:val="left"/>
      <w:pPr>
        <w:ind w:left="1545" w:hanging="528"/>
      </w:pPr>
      <w:rPr>
        <w:rFonts w:hint="default"/>
        <w:lang w:val="zh-CN" w:eastAsia="zh-CN" w:bidi="zh-CN"/>
      </w:rPr>
    </w:lvl>
    <w:lvl w:ilvl="3" w:tentative="0">
      <w:start w:val="0"/>
      <w:numFmt w:val="bullet"/>
      <w:lvlText w:val="•"/>
      <w:lvlJc w:val="left"/>
      <w:pPr>
        <w:ind w:left="2551" w:hanging="528"/>
      </w:pPr>
      <w:rPr>
        <w:rFonts w:hint="default"/>
        <w:lang w:val="zh-CN" w:eastAsia="zh-CN" w:bidi="zh-CN"/>
      </w:rPr>
    </w:lvl>
    <w:lvl w:ilvl="4" w:tentative="0">
      <w:start w:val="0"/>
      <w:numFmt w:val="bullet"/>
      <w:lvlText w:val="•"/>
      <w:lvlJc w:val="left"/>
      <w:pPr>
        <w:ind w:left="3556" w:hanging="528"/>
      </w:pPr>
      <w:rPr>
        <w:rFonts w:hint="default"/>
        <w:lang w:val="zh-CN" w:eastAsia="zh-CN" w:bidi="zh-CN"/>
      </w:rPr>
    </w:lvl>
    <w:lvl w:ilvl="5" w:tentative="0">
      <w:start w:val="0"/>
      <w:numFmt w:val="bullet"/>
      <w:lvlText w:val="•"/>
      <w:lvlJc w:val="left"/>
      <w:pPr>
        <w:ind w:left="4562" w:hanging="528"/>
      </w:pPr>
      <w:rPr>
        <w:rFonts w:hint="default"/>
        <w:lang w:val="zh-CN" w:eastAsia="zh-CN" w:bidi="zh-CN"/>
      </w:rPr>
    </w:lvl>
    <w:lvl w:ilvl="6" w:tentative="0">
      <w:start w:val="0"/>
      <w:numFmt w:val="bullet"/>
      <w:lvlText w:val="•"/>
      <w:lvlJc w:val="left"/>
      <w:pPr>
        <w:ind w:left="5567" w:hanging="528"/>
      </w:pPr>
      <w:rPr>
        <w:rFonts w:hint="default"/>
        <w:lang w:val="zh-CN" w:eastAsia="zh-CN" w:bidi="zh-CN"/>
      </w:rPr>
    </w:lvl>
    <w:lvl w:ilvl="7" w:tentative="0">
      <w:start w:val="0"/>
      <w:numFmt w:val="bullet"/>
      <w:lvlText w:val="•"/>
      <w:lvlJc w:val="left"/>
      <w:pPr>
        <w:ind w:left="6573" w:hanging="528"/>
      </w:pPr>
      <w:rPr>
        <w:rFonts w:hint="default"/>
        <w:lang w:val="zh-CN" w:eastAsia="zh-CN" w:bidi="zh-CN"/>
      </w:rPr>
    </w:lvl>
    <w:lvl w:ilvl="8" w:tentative="0">
      <w:start w:val="0"/>
      <w:numFmt w:val="bullet"/>
      <w:lvlText w:val="•"/>
      <w:lvlJc w:val="left"/>
      <w:pPr>
        <w:ind w:left="7578" w:hanging="528"/>
      </w:pPr>
      <w:rPr>
        <w:rFonts w:hint="default"/>
        <w:lang w:val="zh-CN" w:eastAsia="zh-CN" w:bidi="zh-CN"/>
      </w:rPr>
    </w:lvl>
  </w:abstractNum>
  <w:abstractNum w:abstractNumId="20">
    <w:nsid w:val="5A241D34"/>
    <w:multiLevelType w:val="multilevel"/>
    <w:tmpl w:val="5A241D34"/>
    <w:lvl w:ilvl="0" w:tentative="0">
      <w:start w:val="1"/>
      <w:numFmt w:val="decimal"/>
      <w:lvlText w:val="（%1）"/>
      <w:lvlJc w:val="left"/>
      <w:pPr>
        <w:ind w:left="1680" w:hanging="840"/>
        <w:jc w:val="left"/>
      </w:pPr>
      <w:rPr>
        <w:rFonts w:hint="default" w:ascii="仿宋" w:hAnsi="仿宋" w:eastAsia="仿宋" w:cs="仿宋"/>
        <w:color w:val="202020"/>
        <w:spacing w:val="-3"/>
        <w:w w:val="100"/>
        <w:sz w:val="28"/>
        <w:szCs w:val="28"/>
        <w:lang w:val="zh-CN" w:eastAsia="zh-CN" w:bidi="zh-CN"/>
      </w:rPr>
    </w:lvl>
    <w:lvl w:ilvl="1" w:tentative="0">
      <w:start w:val="0"/>
      <w:numFmt w:val="bullet"/>
      <w:lvlText w:val="•"/>
      <w:lvlJc w:val="left"/>
      <w:pPr>
        <w:ind w:left="2471" w:hanging="840"/>
      </w:pPr>
      <w:rPr>
        <w:rFonts w:hint="default"/>
        <w:lang w:val="zh-CN" w:eastAsia="zh-CN" w:bidi="zh-CN"/>
      </w:rPr>
    </w:lvl>
    <w:lvl w:ilvl="2" w:tentative="0">
      <w:start w:val="0"/>
      <w:numFmt w:val="bullet"/>
      <w:lvlText w:val="•"/>
      <w:lvlJc w:val="left"/>
      <w:pPr>
        <w:ind w:left="3262" w:hanging="840"/>
      </w:pPr>
      <w:rPr>
        <w:rFonts w:hint="default"/>
        <w:lang w:val="zh-CN" w:eastAsia="zh-CN" w:bidi="zh-CN"/>
      </w:rPr>
    </w:lvl>
    <w:lvl w:ilvl="3" w:tentative="0">
      <w:start w:val="0"/>
      <w:numFmt w:val="bullet"/>
      <w:lvlText w:val="•"/>
      <w:lvlJc w:val="left"/>
      <w:pPr>
        <w:ind w:left="4053" w:hanging="840"/>
      </w:pPr>
      <w:rPr>
        <w:rFonts w:hint="default"/>
        <w:lang w:val="zh-CN" w:eastAsia="zh-CN" w:bidi="zh-CN"/>
      </w:rPr>
    </w:lvl>
    <w:lvl w:ilvl="4" w:tentative="0">
      <w:start w:val="0"/>
      <w:numFmt w:val="bullet"/>
      <w:lvlText w:val="•"/>
      <w:lvlJc w:val="left"/>
      <w:pPr>
        <w:ind w:left="4844" w:hanging="840"/>
      </w:pPr>
      <w:rPr>
        <w:rFonts w:hint="default"/>
        <w:lang w:val="zh-CN" w:eastAsia="zh-CN" w:bidi="zh-CN"/>
      </w:rPr>
    </w:lvl>
    <w:lvl w:ilvl="5" w:tentative="0">
      <w:start w:val="0"/>
      <w:numFmt w:val="bullet"/>
      <w:lvlText w:val="•"/>
      <w:lvlJc w:val="left"/>
      <w:pPr>
        <w:ind w:left="5635" w:hanging="840"/>
      </w:pPr>
      <w:rPr>
        <w:rFonts w:hint="default"/>
        <w:lang w:val="zh-CN" w:eastAsia="zh-CN" w:bidi="zh-CN"/>
      </w:rPr>
    </w:lvl>
    <w:lvl w:ilvl="6" w:tentative="0">
      <w:start w:val="0"/>
      <w:numFmt w:val="bullet"/>
      <w:lvlText w:val="•"/>
      <w:lvlJc w:val="left"/>
      <w:pPr>
        <w:ind w:left="6426" w:hanging="840"/>
      </w:pPr>
      <w:rPr>
        <w:rFonts w:hint="default"/>
        <w:lang w:val="zh-CN" w:eastAsia="zh-CN" w:bidi="zh-CN"/>
      </w:rPr>
    </w:lvl>
    <w:lvl w:ilvl="7" w:tentative="0">
      <w:start w:val="0"/>
      <w:numFmt w:val="bullet"/>
      <w:lvlText w:val="•"/>
      <w:lvlJc w:val="left"/>
      <w:pPr>
        <w:ind w:left="7217" w:hanging="840"/>
      </w:pPr>
      <w:rPr>
        <w:rFonts w:hint="default"/>
        <w:lang w:val="zh-CN" w:eastAsia="zh-CN" w:bidi="zh-CN"/>
      </w:rPr>
    </w:lvl>
    <w:lvl w:ilvl="8" w:tentative="0">
      <w:start w:val="0"/>
      <w:numFmt w:val="bullet"/>
      <w:lvlText w:val="•"/>
      <w:lvlJc w:val="left"/>
      <w:pPr>
        <w:ind w:left="8008" w:hanging="840"/>
      </w:pPr>
      <w:rPr>
        <w:rFonts w:hint="default"/>
        <w:lang w:val="zh-CN" w:eastAsia="zh-CN" w:bidi="zh-CN"/>
      </w:rPr>
    </w:lvl>
  </w:abstractNum>
  <w:abstractNum w:abstractNumId="21">
    <w:nsid w:val="60382F6E"/>
    <w:multiLevelType w:val="multilevel"/>
    <w:tmpl w:val="60382F6E"/>
    <w:lvl w:ilvl="0" w:tentative="0">
      <w:start w:val="1"/>
      <w:numFmt w:val="decimal"/>
      <w:lvlText w:val="%1."/>
      <w:lvlJc w:val="left"/>
      <w:pPr>
        <w:ind w:left="1063" w:hanging="284"/>
        <w:jc w:val="left"/>
      </w:pPr>
      <w:rPr>
        <w:rFonts w:hint="default" w:ascii="仿宋" w:hAnsi="仿宋" w:eastAsia="仿宋" w:cs="仿宋"/>
        <w:spacing w:val="-2"/>
        <w:w w:val="100"/>
        <w:sz w:val="26"/>
        <w:szCs w:val="26"/>
        <w:lang w:val="zh-CN" w:eastAsia="zh-CN" w:bidi="zh-CN"/>
      </w:rPr>
    </w:lvl>
    <w:lvl w:ilvl="1" w:tentative="0">
      <w:start w:val="0"/>
      <w:numFmt w:val="bullet"/>
      <w:lvlText w:val="•"/>
      <w:lvlJc w:val="left"/>
      <w:pPr>
        <w:ind w:left="1913" w:hanging="284"/>
      </w:pPr>
      <w:rPr>
        <w:rFonts w:hint="default"/>
        <w:lang w:val="zh-CN" w:eastAsia="zh-CN" w:bidi="zh-CN"/>
      </w:rPr>
    </w:lvl>
    <w:lvl w:ilvl="2" w:tentative="0">
      <w:start w:val="0"/>
      <w:numFmt w:val="bullet"/>
      <w:lvlText w:val="•"/>
      <w:lvlJc w:val="left"/>
      <w:pPr>
        <w:ind w:left="2766" w:hanging="284"/>
      </w:pPr>
      <w:rPr>
        <w:rFonts w:hint="default"/>
        <w:lang w:val="zh-CN" w:eastAsia="zh-CN" w:bidi="zh-CN"/>
      </w:rPr>
    </w:lvl>
    <w:lvl w:ilvl="3" w:tentative="0">
      <w:start w:val="0"/>
      <w:numFmt w:val="bullet"/>
      <w:lvlText w:val="•"/>
      <w:lvlJc w:val="left"/>
      <w:pPr>
        <w:ind w:left="3619" w:hanging="284"/>
      </w:pPr>
      <w:rPr>
        <w:rFonts w:hint="default"/>
        <w:lang w:val="zh-CN" w:eastAsia="zh-CN" w:bidi="zh-CN"/>
      </w:rPr>
    </w:lvl>
    <w:lvl w:ilvl="4" w:tentative="0">
      <w:start w:val="0"/>
      <w:numFmt w:val="bullet"/>
      <w:lvlText w:val="•"/>
      <w:lvlJc w:val="left"/>
      <w:pPr>
        <w:ind w:left="4472" w:hanging="284"/>
      </w:pPr>
      <w:rPr>
        <w:rFonts w:hint="default"/>
        <w:lang w:val="zh-CN" w:eastAsia="zh-CN" w:bidi="zh-CN"/>
      </w:rPr>
    </w:lvl>
    <w:lvl w:ilvl="5" w:tentative="0">
      <w:start w:val="0"/>
      <w:numFmt w:val="bullet"/>
      <w:lvlText w:val="•"/>
      <w:lvlJc w:val="left"/>
      <w:pPr>
        <w:ind w:left="5325" w:hanging="284"/>
      </w:pPr>
      <w:rPr>
        <w:rFonts w:hint="default"/>
        <w:lang w:val="zh-CN" w:eastAsia="zh-CN" w:bidi="zh-CN"/>
      </w:rPr>
    </w:lvl>
    <w:lvl w:ilvl="6" w:tentative="0">
      <w:start w:val="0"/>
      <w:numFmt w:val="bullet"/>
      <w:lvlText w:val="•"/>
      <w:lvlJc w:val="left"/>
      <w:pPr>
        <w:ind w:left="6178" w:hanging="284"/>
      </w:pPr>
      <w:rPr>
        <w:rFonts w:hint="default"/>
        <w:lang w:val="zh-CN" w:eastAsia="zh-CN" w:bidi="zh-CN"/>
      </w:rPr>
    </w:lvl>
    <w:lvl w:ilvl="7" w:tentative="0">
      <w:start w:val="0"/>
      <w:numFmt w:val="bullet"/>
      <w:lvlText w:val="•"/>
      <w:lvlJc w:val="left"/>
      <w:pPr>
        <w:ind w:left="7031" w:hanging="284"/>
      </w:pPr>
      <w:rPr>
        <w:rFonts w:hint="default"/>
        <w:lang w:val="zh-CN" w:eastAsia="zh-CN" w:bidi="zh-CN"/>
      </w:rPr>
    </w:lvl>
    <w:lvl w:ilvl="8" w:tentative="0">
      <w:start w:val="0"/>
      <w:numFmt w:val="bullet"/>
      <w:lvlText w:val="•"/>
      <w:lvlJc w:val="left"/>
      <w:pPr>
        <w:ind w:left="7884" w:hanging="284"/>
      </w:pPr>
      <w:rPr>
        <w:rFonts w:hint="default"/>
        <w:lang w:val="zh-CN" w:eastAsia="zh-CN" w:bidi="zh-CN"/>
      </w:rPr>
    </w:lvl>
  </w:abstractNum>
  <w:abstractNum w:abstractNumId="22">
    <w:nsid w:val="72183CF9"/>
    <w:multiLevelType w:val="multilevel"/>
    <w:tmpl w:val="72183CF9"/>
    <w:lvl w:ilvl="0" w:tentative="0">
      <w:start w:val="1"/>
      <w:numFmt w:val="decimal"/>
      <w:lvlText w:val="（%1）"/>
      <w:lvlJc w:val="left"/>
      <w:pPr>
        <w:ind w:left="1542" w:hanging="702"/>
        <w:jc w:val="left"/>
      </w:pPr>
      <w:rPr>
        <w:rFonts w:hint="default" w:ascii="仿宋" w:hAnsi="仿宋" w:eastAsia="仿宋" w:cs="仿宋"/>
        <w:color w:val="202020"/>
        <w:spacing w:val="-3"/>
        <w:w w:val="100"/>
        <w:sz w:val="26"/>
        <w:szCs w:val="26"/>
        <w:lang w:val="zh-CN" w:eastAsia="zh-CN" w:bidi="zh-CN"/>
      </w:rPr>
    </w:lvl>
    <w:lvl w:ilvl="1" w:tentative="0">
      <w:start w:val="0"/>
      <w:numFmt w:val="bullet"/>
      <w:lvlText w:val="•"/>
      <w:lvlJc w:val="left"/>
      <w:pPr>
        <w:ind w:left="2345" w:hanging="702"/>
      </w:pPr>
      <w:rPr>
        <w:rFonts w:hint="default"/>
        <w:lang w:val="zh-CN" w:eastAsia="zh-CN" w:bidi="zh-CN"/>
      </w:rPr>
    </w:lvl>
    <w:lvl w:ilvl="2" w:tentative="0">
      <w:start w:val="0"/>
      <w:numFmt w:val="bullet"/>
      <w:lvlText w:val="•"/>
      <w:lvlJc w:val="left"/>
      <w:pPr>
        <w:ind w:left="3150" w:hanging="702"/>
      </w:pPr>
      <w:rPr>
        <w:rFonts w:hint="default"/>
        <w:lang w:val="zh-CN" w:eastAsia="zh-CN" w:bidi="zh-CN"/>
      </w:rPr>
    </w:lvl>
    <w:lvl w:ilvl="3" w:tentative="0">
      <w:start w:val="0"/>
      <w:numFmt w:val="bullet"/>
      <w:lvlText w:val="•"/>
      <w:lvlJc w:val="left"/>
      <w:pPr>
        <w:ind w:left="3955" w:hanging="702"/>
      </w:pPr>
      <w:rPr>
        <w:rFonts w:hint="default"/>
        <w:lang w:val="zh-CN" w:eastAsia="zh-CN" w:bidi="zh-CN"/>
      </w:rPr>
    </w:lvl>
    <w:lvl w:ilvl="4" w:tentative="0">
      <w:start w:val="0"/>
      <w:numFmt w:val="bullet"/>
      <w:lvlText w:val="•"/>
      <w:lvlJc w:val="left"/>
      <w:pPr>
        <w:ind w:left="4760" w:hanging="702"/>
      </w:pPr>
      <w:rPr>
        <w:rFonts w:hint="default"/>
        <w:lang w:val="zh-CN" w:eastAsia="zh-CN" w:bidi="zh-CN"/>
      </w:rPr>
    </w:lvl>
    <w:lvl w:ilvl="5" w:tentative="0">
      <w:start w:val="0"/>
      <w:numFmt w:val="bullet"/>
      <w:lvlText w:val="•"/>
      <w:lvlJc w:val="left"/>
      <w:pPr>
        <w:ind w:left="5565" w:hanging="702"/>
      </w:pPr>
      <w:rPr>
        <w:rFonts w:hint="default"/>
        <w:lang w:val="zh-CN" w:eastAsia="zh-CN" w:bidi="zh-CN"/>
      </w:rPr>
    </w:lvl>
    <w:lvl w:ilvl="6" w:tentative="0">
      <w:start w:val="0"/>
      <w:numFmt w:val="bullet"/>
      <w:lvlText w:val="•"/>
      <w:lvlJc w:val="left"/>
      <w:pPr>
        <w:ind w:left="6370" w:hanging="702"/>
      </w:pPr>
      <w:rPr>
        <w:rFonts w:hint="default"/>
        <w:lang w:val="zh-CN" w:eastAsia="zh-CN" w:bidi="zh-CN"/>
      </w:rPr>
    </w:lvl>
    <w:lvl w:ilvl="7" w:tentative="0">
      <w:start w:val="0"/>
      <w:numFmt w:val="bullet"/>
      <w:lvlText w:val="•"/>
      <w:lvlJc w:val="left"/>
      <w:pPr>
        <w:ind w:left="7175" w:hanging="702"/>
      </w:pPr>
      <w:rPr>
        <w:rFonts w:hint="default"/>
        <w:lang w:val="zh-CN" w:eastAsia="zh-CN" w:bidi="zh-CN"/>
      </w:rPr>
    </w:lvl>
    <w:lvl w:ilvl="8" w:tentative="0">
      <w:start w:val="0"/>
      <w:numFmt w:val="bullet"/>
      <w:lvlText w:val="•"/>
      <w:lvlJc w:val="left"/>
      <w:pPr>
        <w:ind w:left="7980" w:hanging="702"/>
      </w:pPr>
      <w:rPr>
        <w:rFonts w:hint="default"/>
        <w:lang w:val="zh-CN" w:eastAsia="zh-CN" w:bidi="zh-CN"/>
      </w:rPr>
    </w:lvl>
  </w:abstractNum>
  <w:num w:numId="1">
    <w:abstractNumId w:val="9"/>
  </w:num>
  <w:num w:numId="2">
    <w:abstractNumId w:val="5"/>
  </w:num>
  <w:num w:numId="3">
    <w:abstractNumId w:val="19"/>
  </w:num>
  <w:num w:numId="4">
    <w:abstractNumId w:val="3"/>
  </w:num>
  <w:num w:numId="5">
    <w:abstractNumId w:val="2"/>
  </w:num>
  <w:num w:numId="6">
    <w:abstractNumId w:val="11"/>
  </w:num>
  <w:num w:numId="7">
    <w:abstractNumId w:val="14"/>
  </w:num>
  <w:num w:numId="8">
    <w:abstractNumId w:val="22"/>
  </w:num>
  <w:num w:numId="9">
    <w:abstractNumId w:val="10"/>
  </w:num>
  <w:num w:numId="10">
    <w:abstractNumId w:val="0"/>
  </w:num>
  <w:num w:numId="11">
    <w:abstractNumId w:val="15"/>
  </w:num>
  <w:num w:numId="12">
    <w:abstractNumId w:val="20"/>
  </w:num>
  <w:num w:numId="13">
    <w:abstractNumId w:val="4"/>
  </w:num>
  <w:num w:numId="14">
    <w:abstractNumId w:val="18"/>
  </w:num>
  <w:num w:numId="15">
    <w:abstractNumId w:val="8"/>
  </w:num>
  <w:num w:numId="16">
    <w:abstractNumId w:val="13"/>
  </w:num>
  <w:num w:numId="17">
    <w:abstractNumId w:val="7"/>
  </w:num>
  <w:num w:numId="18">
    <w:abstractNumId w:val="6"/>
  </w:num>
  <w:num w:numId="19">
    <w:abstractNumId w:val="1"/>
  </w:num>
  <w:num w:numId="20">
    <w:abstractNumId w:val="17"/>
  </w:num>
  <w:num w:numId="21">
    <w:abstractNumId w:val="21"/>
  </w:num>
  <w:num w:numId="22">
    <w:abstractNumId w:val="1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docVars>
    <w:docVar w:name="commondata" w:val="eyJoZGlkIjoiM2UzZjhmZTExZDVlZTQwMWI4MjgyZjQ2ZmI3NGNiZjkifQ=="/>
  </w:docVars>
  <w:rsids>
    <w:rsidRoot w:val="00000000"/>
    <w:rsid w:val="04011B96"/>
    <w:rsid w:val="42230301"/>
    <w:rsid w:val="52633B16"/>
    <w:rsid w:val="59104595"/>
    <w:rsid w:val="666239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spacing w:before="54"/>
      <w:ind w:left="1132"/>
      <w:outlineLvl w:val="1"/>
    </w:pPr>
    <w:rPr>
      <w:rFonts w:ascii="仿宋" w:hAnsi="仿宋" w:eastAsia="仿宋" w:cs="仿宋"/>
      <w:b/>
      <w:bCs/>
      <w:sz w:val="32"/>
      <w:szCs w:val="32"/>
      <w:lang w:val="zh-CN" w:eastAsia="zh-CN" w:bidi="zh-CN"/>
    </w:rPr>
  </w:style>
  <w:style w:type="paragraph" w:styleId="3">
    <w:name w:val="heading 2"/>
    <w:basedOn w:val="1"/>
    <w:next w:val="1"/>
    <w:qFormat/>
    <w:uiPriority w:val="1"/>
    <w:pPr>
      <w:ind w:left="780"/>
      <w:outlineLvl w:val="2"/>
    </w:pPr>
    <w:rPr>
      <w:rFonts w:ascii="仿宋" w:hAnsi="仿宋" w:eastAsia="仿宋" w:cs="仿宋"/>
      <w:b/>
      <w:bCs/>
      <w:sz w:val="28"/>
      <w:szCs w:val="28"/>
      <w:lang w:val="zh-CN" w:eastAsia="zh-CN" w:bidi="zh-CN"/>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仿宋" w:hAnsi="仿宋" w:eastAsia="仿宋" w:cs="仿宋"/>
      <w:sz w:val="28"/>
      <w:szCs w:val="28"/>
      <w:lang w:val="zh-CN" w:eastAsia="zh-CN" w:bidi="zh-CN"/>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220" w:firstLine="559"/>
    </w:pPr>
    <w:rPr>
      <w:rFonts w:ascii="仿宋" w:hAnsi="仿宋" w:eastAsia="仿宋" w:cs="仿宋"/>
      <w:lang w:val="zh-CN" w:eastAsia="zh-CN" w:bidi="zh-CN"/>
    </w:rPr>
  </w:style>
  <w:style w:type="paragraph" w:customStyle="1" w:styleId="9">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19.jpeg"/><Relationship Id="rId35" Type="http://schemas.openxmlformats.org/officeDocument/2006/relationships/image" Target="media/image18.jpeg"/><Relationship Id="rId34" Type="http://schemas.openxmlformats.org/officeDocument/2006/relationships/image" Target="media/image17.jpeg"/><Relationship Id="rId33" Type="http://schemas.openxmlformats.org/officeDocument/2006/relationships/image" Target="media/image16.png"/><Relationship Id="rId32" Type="http://schemas.openxmlformats.org/officeDocument/2006/relationships/image" Target="media/image15.jpeg"/><Relationship Id="rId31" Type="http://schemas.openxmlformats.org/officeDocument/2006/relationships/image" Target="media/image14.jpeg"/><Relationship Id="rId30" Type="http://schemas.openxmlformats.org/officeDocument/2006/relationships/image" Target="media/image13.jpeg"/><Relationship Id="rId3" Type="http://schemas.openxmlformats.org/officeDocument/2006/relationships/footnotes" Target="footnotes.xml"/><Relationship Id="rId29" Type="http://schemas.openxmlformats.org/officeDocument/2006/relationships/image" Target="media/image12.jpeg"/><Relationship Id="rId28" Type="http://schemas.openxmlformats.org/officeDocument/2006/relationships/image" Target="media/image11.jpeg"/><Relationship Id="rId27" Type="http://schemas.openxmlformats.org/officeDocument/2006/relationships/image" Target="media/image10.jpeg"/><Relationship Id="rId26" Type="http://schemas.openxmlformats.org/officeDocument/2006/relationships/image" Target="media/image9.jpeg"/><Relationship Id="rId25" Type="http://schemas.openxmlformats.org/officeDocument/2006/relationships/image" Target="media/image8.jpeg"/><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30065</Words>
  <Characters>31494</Characters>
  <TotalTime>0</TotalTime>
  <ScaleCrop>false</ScaleCrop>
  <LinksUpToDate>false</LinksUpToDate>
  <CharactersWithSpaces>31704</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2022-06-24T06:42:00Z</dcterms:created>
  <dc:creator>WalterCao</dc:creator>
  <cp:lastModifiedBy>brand</cp:lastModifiedBy>
  <dcterms:modified xsi:type="dcterms:W3CDTF">2022-06-24T09:11:35Z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2022-06-23T00:00:00Z</vt:filetime>
  </property>
  <property fmtid="{D5CDD505-2E9C-101B-9397-08002B2CF9AE}" pid="3" name="Creator">
    <vt:lpwstr>WPS 文字</vt:lpwstr>
  </property>
  <property fmtid="{D5CDD505-2E9C-101B-9397-08002B2CF9AE}" pid="4" name="LastSaved">
    <vt:filetime>2022-06-24T00:00:00Z</vt:filetime>
  </property>
  <property fmtid="{D5CDD505-2E9C-101B-9397-08002B2CF9AE}" pid="5" name="KSOProductBuildVer">
    <vt:lpwstr>2052-11.1.0.11830</vt:lpwstr>
  </property>
  <property fmtid="{D5CDD505-2E9C-101B-9397-08002B2CF9AE}" pid="6" name="ICV">
    <vt:lpwstr>D53A014A58F14378AC4D38CF5A067973</vt:lpwstr>
  </property>
</Properties>
</file>