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“香港与内地跨境争议中的财产保全、判决执行及跨境破产”业务交流会之</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业务综述</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活动全景</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基本情况</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202</w:t>
      </w:r>
      <w:r>
        <w:rPr>
          <w:rFonts w:hint="eastAsia" w:ascii="仿宋" w:hAnsi="仿宋" w:eastAsia="仿宋" w:cs="仿宋"/>
          <w:b w:val="0"/>
          <w:bCs w:val="0"/>
          <w:sz w:val="24"/>
          <w:szCs w:val="24"/>
          <w:lang w:val="en-US" w:eastAsia="zh-CN"/>
        </w:rPr>
        <w:t>4</w:t>
      </w:r>
      <w:r>
        <w:rPr>
          <w:rFonts w:hint="default" w:ascii="仿宋" w:hAnsi="仿宋" w:eastAsia="仿宋" w:cs="仿宋"/>
          <w:b w:val="0"/>
          <w:bCs w:val="0"/>
          <w:sz w:val="24"/>
          <w:szCs w:val="24"/>
          <w:lang w:val="en-US" w:eastAsia="zh-CN"/>
        </w:rPr>
        <w:t>年</w:t>
      </w:r>
      <w:r>
        <w:rPr>
          <w:rFonts w:hint="eastAsia" w:ascii="仿宋" w:hAnsi="仿宋" w:eastAsia="仿宋" w:cs="仿宋"/>
          <w:b w:val="0"/>
          <w:bCs w:val="0"/>
          <w:sz w:val="24"/>
          <w:szCs w:val="24"/>
          <w:lang w:val="en-US" w:eastAsia="zh-CN"/>
        </w:rPr>
        <w:t>3</w:t>
      </w:r>
      <w:r>
        <w:rPr>
          <w:rFonts w:hint="default" w:ascii="仿宋" w:hAnsi="仿宋" w:eastAsia="仿宋" w:cs="仿宋"/>
          <w:b w:val="0"/>
          <w:bCs w:val="0"/>
          <w:sz w:val="24"/>
          <w:szCs w:val="24"/>
          <w:lang w:val="en-US" w:eastAsia="zh-CN"/>
        </w:rPr>
        <w:t>月</w:t>
      </w:r>
      <w:r>
        <w:rPr>
          <w:rFonts w:hint="eastAsia" w:ascii="仿宋" w:hAnsi="仿宋" w:eastAsia="仿宋" w:cs="仿宋"/>
          <w:b w:val="0"/>
          <w:bCs w:val="0"/>
          <w:sz w:val="24"/>
          <w:szCs w:val="24"/>
          <w:lang w:val="en-US" w:eastAsia="zh-CN"/>
        </w:rPr>
        <w:t>29</w:t>
      </w:r>
      <w:r>
        <w:rPr>
          <w:rFonts w:hint="default" w:ascii="仿宋" w:hAnsi="仿宋" w:eastAsia="仿宋" w:cs="仿宋"/>
          <w:b w:val="0"/>
          <w:bCs w:val="0"/>
          <w:sz w:val="24"/>
          <w:szCs w:val="24"/>
          <w:lang w:val="en-US" w:eastAsia="zh-CN"/>
        </w:rPr>
        <w:t>日1</w:t>
      </w:r>
      <w:r>
        <w:rPr>
          <w:rFonts w:hint="eastAsia" w:ascii="仿宋" w:hAnsi="仿宋" w:eastAsia="仿宋" w:cs="仿宋"/>
          <w:b w:val="0"/>
          <w:bCs w:val="0"/>
          <w:sz w:val="24"/>
          <w:szCs w:val="24"/>
          <w:lang w:val="en-US" w:eastAsia="zh-CN"/>
        </w:rPr>
        <w:t>4</w:t>
      </w:r>
      <w:r>
        <w:rPr>
          <w:rFonts w:hint="default" w:ascii="仿宋" w:hAnsi="仿宋" w:eastAsia="仿宋" w:cs="仿宋"/>
          <w:b w:val="0"/>
          <w:bCs w:val="0"/>
          <w:sz w:val="24"/>
          <w:szCs w:val="24"/>
          <w:lang w:val="en-US" w:eastAsia="zh-CN"/>
        </w:rPr>
        <w:t>:</w:t>
      </w:r>
      <w:r>
        <w:rPr>
          <w:rFonts w:hint="eastAsia" w:ascii="仿宋" w:hAnsi="仿宋" w:eastAsia="仿宋" w:cs="仿宋"/>
          <w:b w:val="0"/>
          <w:bCs w:val="0"/>
          <w:sz w:val="24"/>
          <w:szCs w:val="24"/>
          <w:lang w:val="en-US" w:eastAsia="zh-CN"/>
        </w:rPr>
        <w:t>3</w:t>
      </w:r>
      <w:r>
        <w:rPr>
          <w:rFonts w:hint="default" w:ascii="仿宋" w:hAnsi="仿宋" w:eastAsia="仿宋" w:cs="仿宋"/>
          <w:b w:val="0"/>
          <w:bCs w:val="0"/>
          <w:sz w:val="24"/>
          <w:szCs w:val="24"/>
          <w:lang w:val="en-US" w:eastAsia="zh-CN"/>
        </w:rPr>
        <w:t>0-</w:t>
      </w:r>
      <w:r>
        <w:rPr>
          <w:rFonts w:hint="eastAsia" w:ascii="仿宋" w:hAnsi="仿宋" w:eastAsia="仿宋" w:cs="仿宋"/>
          <w:b w:val="0"/>
          <w:bCs w:val="0"/>
          <w:sz w:val="24"/>
          <w:szCs w:val="24"/>
          <w:lang w:val="en-US" w:eastAsia="zh-CN"/>
        </w:rPr>
        <w:t>16</w:t>
      </w:r>
      <w:r>
        <w:rPr>
          <w:rFonts w:hint="default" w:ascii="仿宋" w:hAnsi="仿宋" w:eastAsia="仿宋" w:cs="仿宋"/>
          <w:b w:val="0"/>
          <w:bCs w:val="0"/>
          <w:sz w:val="24"/>
          <w:szCs w:val="24"/>
          <w:lang w:val="en-US" w:eastAsia="zh-CN"/>
        </w:rPr>
        <w:t>:</w:t>
      </w:r>
      <w:r>
        <w:rPr>
          <w:rFonts w:hint="eastAsia" w:ascii="仿宋" w:hAnsi="仿宋" w:eastAsia="仿宋" w:cs="仿宋"/>
          <w:b w:val="0"/>
          <w:bCs w:val="0"/>
          <w:sz w:val="24"/>
          <w:szCs w:val="24"/>
          <w:lang w:val="en-US" w:eastAsia="zh-CN"/>
        </w:rPr>
        <w:t>30</w:t>
      </w:r>
      <w:r>
        <w:rPr>
          <w:rFonts w:hint="default" w:ascii="仿宋" w:hAnsi="仿宋" w:eastAsia="仿宋" w:cs="仿宋"/>
          <w:b w:val="0"/>
          <w:bCs w:val="0"/>
          <w:sz w:val="24"/>
          <w:szCs w:val="24"/>
          <w:lang w:val="en-US" w:eastAsia="zh-CN"/>
        </w:rPr>
        <w:t>，“香港与内地跨境争议中的财产保全、判决执行及跨境破产</w:t>
      </w:r>
      <w:r>
        <w:rPr>
          <w:rFonts w:hint="eastAsia" w:ascii="仿宋" w:hAnsi="仿宋" w:eastAsia="仿宋" w:cs="仿宋"/>
          <w:b w:val="0"/>
          <w:bCs w:val="0"/>
          <w:sz w:val="24"/>
          <w:szCs w:val="24"/>
          <w:lang w:val="en-US" w:eastAsia="zh-CN"/>
        </w:rPr>
        <w:t>”</w:t>
      </w:r>
      <w:r>
        <w:rPr>
          <w:rFonts w:hint="default" w:ascii="仿宋" w:hAnsi="仿宋" w:eastAsia="仿宋" w:cs="仿宋"/>
          <w:b w:val="0"/>
          <w:bCs w:val="0"/>
          <w:sz w:val="24"/>
          <w:szCs w:val="24"/>
          <w:lang w:val="en-US" w:eastAsia="zh-CN"/>
        </w:rPr>
        <w:t>业务交流会（“本次活动”）顺利举办。本次活动由深圳市律师协会国际投资法律专业委员会主办，</w:t>
      </w:r>
      <w:r>
        <w:rPr>
          <w:rFonts w:hint="eastAsia" w:ascii="仿宋" w:hAnsi="仿宋" w:eastAsia="仿宋" w:cs="仿宋"/>
          <w:b w:val="0"/>
          <w:bCs w:val="0"/>
          <w:sz w:val="24"/>
          <w:szCs w:val="24"/>
          <w:lang w:val="en-US" w:eastAsia="zh-CN"/>
        </w:rPr>
        <w:t>广东信达律师事务所</w:t>
      </w:r>
      <w:r>
        <w:rPr>
          <w:rFonts w:hint="default" w:ascii="仿宋" w:hAnsi="仿宋" w:eastAsia="仿宋" w:cs="仿宋"/>
          <w:b w:val="0"/>
          <w:bCs w:val="0"/>
          <w:sz w:val="24"/>
          <w:szCs w:val="24"/>
          <w:lang w:val="en-US" w:eastAsia="zh-CN"/>
        </w:rPr>
        <w:t>承办</w:t>
      </w:r>
      <w:r>
        <w:rPr>
          <w:rFonts w:hint="eastAsia" w:ascii="仿宋" w:hAnsi="仿宋" w:eastAsia="仿宋" w:cs="仿宋"/>
          <w:b w:val="0"/>
          <w:bCs w:val="0"/>
          <w:sz w:val="24"/>
          <w:szCs w:val="24"/>
          <w:lang w:val="en-US" w:eastAsia="zh-CN"/>
        </w:rPr>
        <w:t>。在《内地民商事判决（相互强制执行）条例》（第645章）及《内地民商事判决（相互强制执行）规则》于2024年1月29日生效之际，本次活动</w:t>
      </w:r>
      <w:r>
        <w:rPr>
          <w:rFonts w:hint="default" w:ascii="仿宋" w:hAnsi="仿宋" w:eastAsia="仿宋" w:cs="仿宋"/>
          <w:b w:val="0"/>
          <w:bCs w:val="0"/>
          <w:sz w:val="24"/>
          <w:szCs w:val="24"/>
          <w:lang w:val="en-US" w:eastAsia="zh-CN"/>
        </w:rPr>
        <w:t>通过</w:t>
      </w:r>
      <w:r>
        <w:rPr>
          <w:rFonts w:hint="eastAsia" w:ascii="仿宋" w:hAnsi="仿宋" w:eastAsia="仿宋" w:cs="仿宋"/>
          <w:b w:val="0"/>
          <w:bCs w:val="0"/>
          <w:sz w:val="24"/>
          <w:szCs w:val="24"/>
          <w:lang w:val="en-US" w:eastAsia="zh-CN"/>
        </w:rPr>
        <w:t>对</w:t>
      </w:r>
      <w:r>
        <w:rPr>
          <w:rFonts w:hint="default" w:ascii="仿宋" w:hAnsi="仿宋" w:eastAsia="仿宋" w:cs="仿宋"/>
          <w:b w:val="0"/>
          <w:bCs w:val="0"/>
          <w:sz w:val="24"/>
          <w:szCs w:val="24"/>
          <w:lang w:val="en-US" w:eastAsia="zh-CN"/>
        </w:rPr>
        <w:t>香港与内地跨境争议中的财产保全,判决执行及跨境破产</w:t>
      </w:r>
      <w:r>
        <w:rPr>
          <w:rFonts w:hint="eastAsia" w:ascii="仿宋" w:hAnsi="仿宋" w:eastAsia="仿宋" w:cs="仿宋"/>
          <w:b w:val="0"/>
          <w:bCs w:val="0"/>
          <w:sz w:val="24"/>
          <w:szCs w:val="24"/>
          <w:lang w:val="en-US" w:eastAsia="zh-CN"/>
        </w:rPr>
        <w:t>的实务介绍与交流，</w:t>
      </w:r>
      <w:r>
        <w:rPr>
          <w:rFonts w:hint="default" w:ascii="仿宋" w:hAnsi="仿宋" w:eastAsia="仿宋" w:cs="仿宋"/>
          <w:b w:val="0"/>
          <w:bCs w:val="0"/>
          <w:sz w:val="24"/>
          <w:szCs w:val="24"/>
          <w:lang w:val="en-US" w:eastAsia="zh-CN"/>
        </w:rPr>
        <w:t>旨在帮助开展跨境商业合作的当事人更好地解决争议与维护合法权益。本次</w:t>
      </w:r>
      <w:r>
        <w:rPr>
          <w:rFonts w:hint="eastAsia" w:ascii="仿宋" w:hAnsi="仿宋" w:eastAsia="仿宋" w:cs="仿宋"/>
          <w:b w:val="0"/>
          <w:bCs w:val="0"/>
          <w:sz w:val="24"/>
          <w:szCs w:val="24"/>
          <w:lang w:val="en-US" w:eastAsia="zh-CN"/>
        </w:rPr>
        <w:t>业务交流会</w:t>
      </w:r>
      <w:r>
        <w:rPr>
          <w:rFonts w:hint="default" w:ascii="仿宋" w:hAnsi="仿宋" w:eastAsia="仿宋" w:cs="仿宋"/>
          <w:b w:val="0"/>
          <w:bCs w:val="0"/>
          <w:sz w:val="24"/>
          <w:szCs w:val="24"/>
          <w:lang w:val="en-US" w:eastAsia="zh-CN"/>
        </w:rPr>
        <w:t>面向感兴趣的深圳律师、律师助理、实习人员及深圳律师行业从业人员开放，共有线下</w:t>
      </w:r>
      <w:r>
        <w:rPr>
          <w:rFonts w:hint="eastAsia" w:ascii="仿宋" w:hAnsi="仿宋" w:eastAsia="仿宋" w:cs="仿宋"/>
          <w:b w:val="0"/>
          <w:bCs w:val="0"/>
          <w:sz w:val="24"/>
          <w:szCs w:val="24"/>
          <w:lang w:val="en-US" w:eastAsia="zh-CN"/>
        </w:rPr>
        <w:t>8</w:t>
      </w:r>
      <w:r>
        <w:rPr>
          <w:rFonts w:hint="default" w:ascii="仿宋" w:hAnsi="仿宋" w:eastAsia="仿宋" w:cs="仿宋"/>
          <w:b w:val="0"/>
          <w:bCs w:val="0"/>
          <w:sz w:val="24"/>
          <w:szCs w:val="24"/>
          <w:lang w:val="en-US" w:eastAsia="zh-CN"/>
        </w:rPr>
        <w:t>人、线上</w:t>
      </w:r>
      <w:r>
        <w:rPr>
          <w:rFonts w:hint="eastAsia" w:ascii="仿宋" w:hAnsi="仿宋" w:eastAsia="仿宋" w:cs="仿宋"/>
          <w:b w:val="0"/>
          <w:bCs w:val="0"/>
          <w:sz w:val="24"/>
          <w:szCs w:val="24"/>
          <w:lang w:val="en-US" w:eastAsia="zh-CN"/>
        </w:rPr>
        <w:t>149</w:t>
      </w:r>
      <w:r>
        <w:rPr>
          <w:rFonts w:hint="default" w:ascii="仿宋" w:hAnsi="仿宋" w:eastAsia="仿宋" w:cs="仿宋"/>
          <w:b w:val="0"/>
          <w:bCs w:val="0"/>
          <w:sz w:val="24"/>
          <w:szCs w:val="24"/>
          <w:lang w:val="en-US" w:eastAsia="zh-CN"/>
        </w:rPr>
        <w:t>人参与了</w:t>
      </w:r>
      <w:r>
        <w:rPr>
          <w:rFonts w:hint="eastAsia" w:ascii="仿宋" w:hAnsi="仿宋" w:eastAsia="仿宋" w:cs="仿宋"/>
          <w:b w:val="0"/>
          <w:bCs w:val="0"/>
          <w:sz w:val="24"/>
          <w:szCs w:val="24"/>
          <w:lang w:val="en-US" w:eastAsia="zh-CN"/>
        </w:rPr>
        <w:t>本次活动</w:t>
      </w:r>
      <w:r>
        <w:rPr>
          <w:rFonts w:hint="default" w:ascii="仿宋" w:hAnsi="仿宋" w:eastAsia="仿宋" w:cs="仿宋"/>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2"/>
          <w:szCs w:val="22"/>
          <w:lang w:val="en-US" w:eastAsia="zh-CN"/>
        </w:rPr>
        <w:drawing>
          <wp:inline distT="0" distB="0" distL="114300" distR="114300">
            <wp:extent cx="4674235" cy="3505835"/>
            <wp:effectExtent l="0" t="0" r="4445" b="14605"/>
            <wp:docPr id="2" name="图片 2" descr="照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照片2"/>
                    <pic:cNvPicPr>
                      <a:picLocks noChangeAspect="1"/>
                    </pic:cNvPicPr>
                  </pic:nvPicPr>
                  <pic:blipFill>
                    <a:blip r:embed="rId5"/>
                    <a:stretch>
                      <a:fillRect/>
                    </a:stretch>
                  </pic:blipFill>
                  <pic:spPr>
                    <a:xfrm>
                      <a:off x="0" y="0"/>
                      <a:ext cx="4674235" cy="3505835"/>
                    </a:xfrm>
                    <a:prstGeom prst="rect">
                      <a:avLst/>
                    </a:prstGeom>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活动议程</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40" w:firstLineChars="200"/>
        <w:jc w:val="both"/>
        <w:textAlignment w:val="auto"/>
        <w:rPr>
          <w:rFonts w:hint="default" w:ascii="仿宋" w:hAnsi="仿宋" w:eastAsia="仿宋" w:cs="仿宋"/>
          <w:b w:val="0"/>
          <w:bCs w:val="0"/>
          <w:sz w:val="22"/>
          <w:szCs w:val="22"/>
          <w:lang w:val="en-US" w:eastAsia="zh-CN"/>
        </w:rPr>
      </w:pPr>
      <w:r>
        <w:rPr>
          <w:rFonts w:hint="default" w:ascii="仿宋" w:hAnsi="仿宋" w:eastAsia="仿宋" w:cs="仿宋"/>
          <w:b w:val="0"/>
          <w:bCs w:val="0"/>
          <w:sz w:val="22"/>
          <w:szCs w:val="22"/>
          <w:lang w:val="en-US" w:eastAsia="zh-CN"/>
        </w:rPr>
        <w:t>本次活动</w:t>
      </w:r>
      <w:r>
        <w:rPr>
          <w:rFonts w:hint="eastAsia" w:ascii="仿宋" w:hAnsi="仿宋" w:eastAsia="仿宋" w:cs="仿宋"/>
          <w:b w:val="0"/>
          <w:bCs w:val="0"/>
          <w:sz w:val="22"/>
          <w:szCs w:val="22"/>
          <w:lang w:val="en-US" w:eastAsia="zh-CN"/>
        </w:rPr>
        <w:t>介绍了</w:t>
      </w:r>
      <w:r>
        <w:rPr>
          <w:rFonts w:hint="default" w:ascii="仿宋" w:hAnsi="仿宋" w:eastAsia="仿宋" w:cs="仿宋"/>
          <w:b w:val="0"/>
          <w:bCs w:val="0"/>
          <w:sz w:val="22"/>
          <w:szCs w:val="22"/>
          <w:lang w:val="en-US" w:eastAsia="zh-CN"/>
        </w:rPr>
        <w:t>香港与内地跨境争议中的财产保全</w:t>
      </w:r>
      <w:r>
        <w:rPr>
          <w:rFonts w:hint="eastAsia" w:ascii="仿宋" w:hAnsi="仿宋" w:eastAsia="仿宋" w:cs="仿宋"/>
          <w:b w:val="0"/>
          <w:bCs w:val="0"/>
          <w:sz w:val="22"/>
          <w:szCs w:val="22"/>
          <w:lang w:val="en-US" w:eastAsia="zh-CN"/>
        </w:rPr>
        <w:t>、</w:t>
      </w:r>
      <w:r>
        <w:rPr>
          <w:rFonts w:hint="default" w:ascii="仿宋" w:hAnsi="仿宋" w:eastAsia="仿宋" w:cs="仿宋"/>
          <w:b w:val="0"/>
          <w:bCs w:val="0"/>
          <w:sz w:val="22"/>
          <w:szCs w:val="22"/>
          <w:lang w:val="en-US" w:eastAsia="zh-CN"/>
        </w:rPr>
        <w:t>判决执行</w:t>
      </w:r>
      <w:r>
        <w:rPr>
          <w:rFonts w:hint="eastAsia" w:ascii="仿宋" w:hAnsi="仿宋" w:eastAsia="仿宋" w:cs="仿宋"/>
          <w:b w:val="0"/>
          <w:bCs w:val="0"/>
          <w:sz w:val="22"/>
          <w:szCs w:val="22"/>
          <w:lang w:val="en-US" w:eastAsia="zh-CN"/>
        </w:rPr>
        <w:t>及</w:t>
      </w:r>
      <w:r>
        <w:rPr>
          <w:rFonts w:hint="default" w:ascii="仿宋" w:hAnsi="仿宋" w:eastAsia="仿宋" w:cs="仿宋"/>
          <w:b w:val="0"/>
          <w:bCs w:val="0"/>
          <w:sz w:val="22"/>
          <w:szCs w:val="22"/>
          <w:lang w:val="en-US" w:eastAsia="zh-CN"/>
        </w:rPr>
        <w:t>跨境破产</w:t>
      </w:r>
      <w:r>
        <w:rPr>
          <w:rFonts w:hint="eastAsia" w:ascii="仿宋" w:hAnsi="仿宋" w:eastAsia="仿宋" w:cs="仿宋"/>
          <w:b w:val="0"/>
          <w:bCs w:val="0"/>
          <w:sz w:val="22"/>
          <w:szCs w:val="22"/>
          <w:lang w:val="en-US" w:eastAsia="zh-CN"/>
        </w:rPr>
        <w:t>的实务要点。</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主持人与主讲人介绍</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2"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bCs/>
          <w:sz w:val="24"/>
          <w:szCs w:val="24"/>
          <w:lang w:val="en-US" w:eastAsia="zh-CN"/>
        </w:rPr>
        <w:t>主持人：刘奕杉律师</w:t>
      </w:r>
      <w:r>
        <w:rPr>
          <w:rFonts w:hint="eastAsia" w:ascii="仿宋" w:hAnsi="仿宋" w:eastAsia="仿宋" w:cs="仿宋"/>
          <w:b w:val="0"/>
          <w:bCs w:val="0"/>
          <w:sz w:val="24"/>
          <w:szCs w:val="24"/>
          <w:lang w:val="en-US" w:eastAsia="zh-CN"/>
        </w:rPr>
        <w:t>，深圳市律协第十一届国际投资法律专业委员会（“国际投资委”）副主任。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2"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bCs/>
          <w:sz w:val="24"/>
          <w:szCs w:val="24"/>
          <w:lang w:val="en-US" w:eastAsia="zh-CN"/>
        </w:rPr>
        <w:t>主讲人：何禄赞大律师</w:t>
      </w:r>
      <w:r>
        <w:rPr>
          <w:rFonts w:hint="eastAsia" w:ascii="仿宋" w:hAnsi="仿宋" w:eastAsia="仿宋" w:cs="仿宋"/>
          <w:b w:val="0"/>
          <w:bCs w:val="0"/>
          <w:sz w:val="24"/>
          <w:szCs w:val="24"/>
          <w:lang w:val="en-US" w:eastAsia="zh-CN"/>
        </w:rPr>
        <w:t>，香港德辅大律师事务所的成员。。</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参与情况</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本次活动报名人数为</w:t>
      </w:r>
      <w:r>
        <w:rPr>
          <w:rFonts w:hint="eastAsia" w:ascii="仿宋" w:hAnsi="仿宋" w:eastAsia="仿宋" w:cs="仿宋"/>
          <w:b w:val="0"/>
          <w:bCs w:val="0"/>
          <w:sz w:val="24"/>
          <w:szCs w:val="24"/>
          <w:lang w:val="en-US" w:eastAsia="zh-CN"/>
        </w:rPr>
        <w:t>157</w:t>
      </w:r>
      <w:r>
        <w:rPr>
          <w:rFonts w:hint="default" w:ascii="仿宋" w:hAnsi="仿宋" w:eastAsia="仿宋" w:cs="仿宋"/>
          <w:b w:val="0"/>
          <w:bCs w:val="0"/>
          <w:sz w:val="24"/>
          <w:szCs w:val="24"/>
          <w:lang w:val="en-US" w:eastAsia="zh-CN"/>
        </w:rPr>
        <w:t>人，其中</w:t>
      </w:r>
      <w:r>
        <w:rPr>
          <w:rFonts w:hint="eastAsia" w:ascii="仿宋" w:hAnsi="仿宋" w:eastAsia="仿宋" w:cs="仿宋"/>
          <w:b w:val="0"/>
          <w:bCs w:val="0"/>
          <w:sz w:val="24"/>
          <w:szCs w:val="24"/>
          <w:lang w:val="en-US" w:eastAsia="zh-CN"/>
        </w:rPr>
        <w:t>有2位</w:t>
      </w:r>
      <w:r>
        <w:rPr>
          <w:rFonts w:hint="default" w:ascii="仿宋" w:hAnsi="仿宋" w:eastAsia="仿宋" w:cs="仿宋"/>
          <w:b w:val="0"/>
          <w:bCs w:val="0"/>
          <w:sz w:val="24"/>
          <w:szCs w:val="24"/>
          <w:lang w:val="en-US" w:eastAsia="zh-CN"/>
        </w:rPr>
        <w:t>国际投资</w:t>
      </w:r>
      <w:r>
        <w:rPr>
          <w:rFonts w:hint="eastAsia" w:ascii="仿宋" w:hAnsi="仿宋" w:eastAsia="仿宋" w:cs="仿宋"/>
          <w:b w:val="0"/>
          <w:bCs w:val="0"/>
          <w:sz w:val="24"/>
          <w:szCs w:val="24"/>
          <w:lang w:val="en-US" w:eastAsia="zh-CN"/>
        </w:rPr>
        <w:t>法律专业</w:t>
      </w:r>
      <w:r>
        <w:rPr>
          <w:rFonts w:hint="default" w:ascii="仿宋" w:hAnsi="仿宋" w:eastAsia="仿宋" w:cs="仿宋"/>
          <w:b w:val="0"/>
          <w:bCs w:val="0"/>
          <w:sz w:val="24"/>
          <w:szCs w:val="24"/>
          <w:lang w:val="en-US" w:eastAsia="zh-CN"/>
        </w:rPr>
        <w:t>委</w:t>
      </w:r>
      <w:r>
        <w:rPr>
          <w:rFonts w:hint="eastAsia" w:ascii="仿宋" w:hAnsi="仿宋" w:eastAsia="仿宋" w:cs="仿宋"/>
          <w:b w:val="0"/>
          <w:bCs w:val="0"/>
          <w:sz w:val="24"/>
          <w:szCs w:val="24"/>
          <w:lang w:val="en-US" w:eastAsia="zh-CN"/>
        </w:rPr>
        <w:t>员会</w:t>
      </w:r>
      <w:r>
        <w:rPr>
          <w:rFonts w:hint="default" w:ascii="仿宋" w:hAnsi="仿宋" w:eastAsia="仿宋" w:cs="仿宋"/>
          <w:b w:val="0"/>
          <w:bCs w:val="0"/>
          <w:sz w:val="24"/>
          <w:szCs w:val="24"/>
          <w:lang w:val="en-US" w:eastAsia="zh-CN"/>
        </w:rPr>
        <w:t>成员参加。</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活动实录</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保全资产、保证执行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内地与香港均为涉华跨境争议的</w:t>
      </w:r>
      <w:bookmarkStart w:id="0" w:name="_GoBack"/>
      <w:bookmarkEnd w:id="0"/>
      <w:r>
        <w:rPr>
          <w:rFonts w:hint="eastAsia" w:ascii="仿宋" w:hAnsi="仿宋" w:eastAsia="仿宋" w:cs="仿宋"/>
          <w:b w:val="0"/>
          <w:bCs w:val="0"/>
          <w:sz w:val="24"/>
          <w:szCs w:val="24"/>
          <w:lang w:val="en-US" w:eastAsia="zh-CN"/>
        </w:rPr>
        <w:t>主要聚集地区，同时也是众多跨境争议当事人的财产聚集地，而跨境争议当事人面临的一个重要问题在于，内地、香港或其他法域进行的仲裁/诉讼过程中，能否在相对方的财产所在地申请财产保全。该问题的答案也将影响到当事人对于争议解决方式的选择。和内地律师建议诉前和诉中保全的考虑类似，保全能够避免胜诉之后无财产可执行，更可以在某种情况下促使对方和解。该部分旨在引入香港法院保全财产的基本介绍。</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在香港，与内地“保全”最重叠的概念是Interlocutary Injunctions，虽然香港成文法将其翻译为“非正审强制令”（香港法例第4章《高等法院条例》第21L条)，但是此翻译很少使用，我们称“临时措施”的情况较多。香港有权颁发临时措施的机关有香港高等法院及仲裁机构。在紧急情况下，香港高等法院可经一方当事人的申请，由当值法官即时处理，立刻作出决定。在仲裁中，如果仲裁庭已经组庭，或者尚未组庭且仲裁规则允许，仲裁员或紧急仲裁员可以颁布临时措施。香港的诉讼程序中的临时救济措施种类丰富多样，原告可依据自身诉求向香港法院申请不同类别、不同内容的临时救济措施。比较常见的临时救济措施包括如资产冻结令、全球资产冻结令、所有权强制令、资产质押令。</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20" w:firstLineChars="200"/>
        <w:jc w:val="left"/>
        <w:textAlignment w:val="auto"/>
        <w:rPr>
          <w:rFonts w:hint="eastAsia" w:ascii="仿宋" w:hAnsi="仿宋" w:eastAsia="仿宋" w:cs="仿宋"/>
          <w:b w:val="0"/>
          <w:bCs w:val="0"/>
          <w:sz w:val="22"/>
          <w:szCs w:val="22"/>
          <w:lang w:val="en-US" w:eastAsia="zh-CN"/>
        </w:rPr>
      </w:pPr>
      <w:r>
        <w:drawing>
          <wp:inline distT="0" distB="0" distL="114300" distR="114300">
            <wp:extent cx="4872355" cy="2734310"/>
            <wp:effectExtent l="0" t="0" r="4445"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4872355" cy="2734310"/>
                    </a:xfrm>
                    <a:prstGeom prst="rect">
                      <a:avLst/>
                    </a:prstGeom>
                    <a:noFill/>
                    <a:ln>
                      <a:noFill/>
                    </a:ln>
                  </pic:spPr>
                </pic:pic>
              </a:graphicData>
            </a:graphic>
          </wp:inline>
        </w:drawing>
      </w:r>
      <w:r>
        <w:drawing>
          <wp:inline distT="0" distB="0" distL="114300" distR="114300">
            <wp:extent cx="4973320" cy="2804160"/>
            <wp:effectExtent l="0" t="0" r="1016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7"/>
                    <a:stretch>
                      <a:fillRect/>
                    </a:stretch>
                  </pic:blipFill>
                  <pic:spPr>
                    <a:xfrm>
                      <a:off x="0" y="0"/>
                      <a:ext cx="4973320" cy="2804160"/>
                    </a:xfrm>
                    <a:prstGeom prst="rect">
                      <a:avLst/>
                    </a:prstGeom>
                    <a:noFill/>
                    <a:ln>
                      <a:noFill/>
                    </a:ln>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val="0"/>
          <w:bCs w:val="0"/>
          <w:sz w:val="22"/>
          <w:szCs w:val="22"/>
          <w:lang w:val="en-US" w:eastAsia="zh-CN"/>
        </w:rPr>
      </w:pPr>
      <w:r>
        <w:rPr>
          <w:rFonts w:hint="eastAsia" w:ascii="仿宋" w:hAnsi="仿宋" w:eastAsia="仿宋" w:cs="仿宋"/>
          <w:b/>
          <w:bCs/>
          <w:sz w:val="28"/>
          <w:szCs w:val="28"/>
          <w:lang w:val="en-US" w:eastAsia="zh-CN"/>
        </w:rPr>
        <w:t>资产冻结令(Mareva injunction)</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在诸多临时救济措施中，资产冻结令被称为普通法下的核武器，是最为广泛适用的临时救济措施之一。如果中国内地诉讼中的原告发现被告在香港有可供执行的资产，如持有香港公司股权、香港房产等，且被告很有可能在中国内地诉讼判决前转移其香港资产，以逃避执行中国内地法院判决，则可以向香港法院针对被告申请资产冻结令，以冻结被告的香港资产。违反该命令将会因为藐视法庭面临罚款，甚至是牢狱之灾，而且该后果也适用于任何协助被保全人违反香港保全的非当事方（案例：GE Transportation (Shenyang) Co Ltd v Lu Jinxiang, HCMP 1792/2013, 22 January 2014）。</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与内地存在“以担保审查代替担保必要性和合法性审查”的现象不同，申请香港保全需要提供切实的证据。简单来说，申请方要证明的基本要件包括：（1）“A good arguable case” - 本诉理据较充分；（2）“Assets within the jurisdiction” - 申请方必须提供被申请人在港有财产（但无需当事人自行调查对方当事人的资产）的证明；（3）“Real risk of dissipation” - 被申请人有转移资产的风险（需要提供证据证明，单纯的推测不足以满足该项条件。这也是香港和内地法院在财产保全制度方面的重大区别之一）；（4）“Balance of convenience”-法院在考虑对双方利弊后，认为应当颁发禁令。</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香港法院颁发资产冻结令一般不要求申请人提供担保，但是会要求申请人承诺，如果被申请人因临时措施蒙受损失，且法院裁决被申请人应获得赔偿，则申请人需要承担赔偿责任(cross undertaking as to damages)。被申请人也可以向法院提出申请，要求申请人提供担保(fortification)。申请条件是被申请人需要向法院证明（1）被申请人可能因临时措施蒙受重大损失；以及（2）其有理由相信申请人没有能力赔偿该等损失。</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最后需要重点提醒的是，单方面申请获得</w:t>
      </w:r>
      <w:r>
        <w:rPr>
          <w:rFonts w:hint="eastAsia" w:ascii="仿宋" w:hAnsi="仿宋" w:eastAsia="仿宋" w:cs="仿宋"/>
          <w:b w:val="0"/>
          <w:bCs w:val="0"/>
          <w:sz w:val="24"/>
          <w:szCs w:val="24"/>
          <w:lang w:val="en-US" w:eastAsia="zh-CN"/>
        </w:rPr>
        <w:t>资产冻结</w:t>
      </w:r>
      <w:r>
        <w:rPr>
          <w:rFonts w:hint="default" w:ascii="仿宋" w:hAnsi="仿宋" w:eastAsia="仿宋" w:cs="仿宋"/>
          <w:b w:val="0"/>
          <w:bCs w:val="0"/>
          <w:sz w:val="24"/>
          <w:szCs w:val="24"/>
          <w:lang w:val="en-US" w:eastAsia="zh-CN"/>
        </w:rPr>
        <w:t>令只是第一步，申请成功后法官会给出一个return date，即允许被执行人反对强制令的日期，届时双方的法律和事实斗争才开始见真章，如果禁止令被撤销，不仅不能起到作用，申请一方还要支付申请对方的律师费和损失。因此作为客户的律师，我们需要在申请之前就对此类问题有基本的分析和判断，而不是盲目地鼓动客户去申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20" w:firstLineChars="200"/>
        <w:jc w:val="both"/>
        <w:textAlignment w:val="auto"/>
        <w:rPr>
          <w:rFonts w:hint="eastAsia" w:ascii="仿宋" w:hAnsi="仿宋" w:cs="仿宋" w:eastAsiaTheme="minorEastAsia"/>
          <w:b w:val="0"/>
          <w:bCs w:val="0"/>
          <w:sz w:val="22"/>
          <w:szCs w:val="22"/>
          <w:lang w:val="en-US" w:eastAsia="zh-CN"/>
        </w:rPr>
      </w:pPr>
      <w:r>
        <w:drawing>
          <wp:inline distT="0" distB="0" distL="114300" distR="114300">
            <wp:extent cx="4852670" cy="2729230"/>
            <wp:effectExtent l="0" t="0" r="8890" b="139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4852670" cy="2729230"/>
                    </a:xfrm>
                    <a:prstGeom prst="rect">
                      <a:avLst/>
                    </a:prstGeom>
                    <a:noFill/>
                    <a:ln>
                      <a:noFill/>
                    </a:ln>
                  </pic:spPr>
                </pic:pic>
              </a:graphicData>
            </a:graphic>
          </wp:inline>
        </w:drawing>
      </w:r>
      <w:r>
        <w:rPr>
          <w:rFonts w:hint="eastAsia" w:ascii="仿宋" w:hAnsi="仿宋" w:cs="仿宋" w:eastAsiaTheme="minorEastAsia"/>
          <w:b w:val="0"/>
          <w:bCs w:val="0"/>
          <w:sz w:val="22"/>
          <w:szCs w:val="22"/>
          <w:lang w:val="en-US" w:eastAsia="zh-CN"/>
        </w:rPr>
        <w:drawing>
          <wp:inline distT="0" distB="0" distL="114300" distR="114300">
            <wp:extent cx="4932680" cy="3699510"/>
            <wp:effectExtent l="0" t="0" r="5080" b="3810"/>
            <wp:docPr id="8" name="图片 8" descr="照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照片1"/>
                    <pic:cNvPicPr>
                      <a:picLocks noChangeAspect="1"/>
                    </pic:cNvPicPr>
                  </pic:nvPicPr>
                  <pic:blipFill>
                    <a:blip r:embed="rId9"/>
                    <a:stretch>
                      <a:fillRect/>
                    </a:stretch>
                  </pic:blipFill>
                  <pic:spPr>
                    <a:xfrm>
                      <a:off x="0" y="0"/>
                      <a:ext cx="4932680" cy="3699510"/>
                    </a:xfrm>
                    <a:prstGeom prst="rect">
                      <a:avLst/>
                    </a:prstGeom>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所有权强制令（proprietary injunction）</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eastAsia"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所有权强制令与</w:t>
      </w:r>
      <w:r>
        <w:rPr>
          <w:rFonts w:hint="eastAsia" w:ascii="仿宋" w:hAnsi="仿宋" w:eastAsia="仿宋" w:cs="仿宋"/>
          <w:b w:val="0"/>
          <w:bCs w:val="0"/>
          <w:sz w:val="24"/>
          <w:szCs w:val="24"/>
          <w:lang w:val="en-US" w:eastAsia="zh-CN"/>
        </w:rPr>
        <w:t>资产冻结</w:t>
      </w:r>
      <w:r>
        <w:rPr>
          <w:rFonts w:hint="default" w:ascii="仿宋" w:hAnsi="仿宋" w:eastAsia="仿宋" w:cs="仿宋"/>
          <w:b w:val="0"/>
          <w:bCs w:val="0"/>
          <w:sz w:val="24"/>
          <w:szCs w:val="24"/>
          <w:lang w:val="en-US" w:eastAsia="zh-CN"/>
        </w:rPr>
        <w:t>令最大的不同是申请方不用证明存在“被申请人</w:t>
      </w:r>
      <w:r>
        <w:rPr>
          <w:rFonts w:hint="eastAsia" w:ascii="仿宋" w:hAnsi="仿宋" w:eastAsia="仿宋" w:cs="仿宋"/>
          <w:b w:val="0"/>
          <w:bCs w:val="0"/>
          <w:sz w:val="24"/>
          <w:szCs w:val="24"/>
          <w:lang w:val="en-US" w:eastAsia="zh-CN"/>
        </w:rPr>
        <w:t>有转移资产的</w:t>
      </w:r>
      <w:r>
        <w:rPr>
          <w:rFonts w:hint="default" w:ascii="仿宋" w:hAnsi="仿宋" w:eastAsia="仿宋" w:cs="仿宋"/>
          <w:b w:val="0"/>
          <w:bCs w:val="0"/>
          <w:sz w:val="24"/>
          <w:szCs w:val="24"/>
          <w:lang w:val="en-US" w:eastAsia="zh-CN"/>
        </w:rPr>
        <w:t>风险”。与此同时，申请一方的核心证明责任变成了证明其对财产享有所有权（或依据衡平法追踪（Tracing）自己财产转换成的其他财产）</w:t>
      </w:r>
      <w:r>
        <w:rPr>
          <w:rFonts w:hint="eastAsia" w:ascii="仿宋" w:hAnsi="仿宋" w:eastAsia="仿宋" w:cs="仿宋"/>
          <w:b w:val="0"/>
          <w:bCs w:val="0"/>
          <w:sz w:val="24"/>
          <w:szCs w:val="24"/>
          <w:lang w:val="en-US" w:eastAsia="zh-CN"/>
        </w:rPr>
        <w:t>。</w:t>
      </w:r>
    </w:p>
    <w:p>
      <w:pPr>
        <w:keepNext w:val="0"/>
        <w:keepLines w:val="0"/>
        <w:pageBreakBefore w:val="0"/>
        <w:widowControl w:val="0"/>
        <w:numPr>
          <w:ilvl w:val="0"/>
          <w:numId w:val="0"/>
        </w:numPr>
        <w:kinsoku/>
        <w:wordWrap w:val="0"/>
        <w:overflowPunct/>
        <w:topLinePunct w:val="0"/>
        <w:autoSpaceDE/>
        <w:autoSpaceDN/>
        <w:bidi w:val="0"/>
        <w:adjustRightInd/>
        <w:snapToGrid/>
        <w:spacing w:before="157" w:beforeLines="50" w:after="157" w:afterLines="50" w:line="360" w:lineRule="auto"/>
        <w:ind w:left="0" w:leftChars="0" w:right="0" w:rightChars="0" w:firstLine="420" w:firstLineChars="200"/>
        <w:jc w:val="both"/>
        <w:textAlignment w:val="auto"/>
        <w:rPr>
          <w:rFonts w:hint="default" w:ascii="仿宋" w:hAnsi="仿宋" w:eastAsia="仿宋" w:cs="仿宋"/>
          <w:b w:val="0"/>
          <w:bCs w:val="0"/>
          <w:sz w:val="22"/>
          <w:szCs w:val="22"/>
          <w:lang w:val="en-US" w:eastAsia="zh-CN"/>
        </w:rPr>
      </w:pPr>
      <w:r>
        <w:drawing>
          <wp:inline distT="0" distB="0" distL="114300" distR="114300">
            <wp:extent cx="4842510" cy="2727325"/>
            <wp:effectExtent l="0" t="0" r="3810" b="63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0"/>
                    <a:stretch>
                      <a:fillRect/>
                    </a:stretch>
                  </pic:blipFill>
                  <pic:spPr>
                    <a:xfrm>
                      <a:off x="0" y="0"/>
                      <a:ext cx="4842510" cy="2727325"/>
                    </a:xfrm>
                    <a:prstGeom prst="rect">
                      <a:avLst/>
                    </a:prstGeom>
                    <a:noFill/>
                    <a:ln>
                      <a:noFill/>
                    </a:ln>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清盘呈请及委任临时清盘人</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eastAsia"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若呈请人相信公司的资产陷于险境，呈请人可在提交清盘呈请后向法院申请委任一名临时清盘人，以在呈请的聆讯前保障公司资产临时清盘人将接管该公司，包括其资产及会计纪录，并会调查该公司的业务当临时清盘人被委任后，也能间接达到保全资产的效果和目的</w:t>
      </w:r>
      <w:r>
        <w:rPr>
          <w:rFonts w:hint="eastAsia" w:ascii="仿宋" w:hAnsi="仿宋" w:eastAsia="仿宋" w:cs="仿宋"/>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20" w:firstLineChars="200"/>
        <w:jc w:val="both"/>
        <w:textAlignment w:val="auto"/>
        <w:rPr>
          <w:rFonts w:hint="default" w:ascii="仿宋" w:hAnsi="仿宋" w:eastAsia="仿宋" w:cs="仿宋"/>
          <w:b w:val="0"/>
          <w:bCs w:val="0"/>
          <w:sz w:val="22"/>
          <w:szCs w:val="22"/>
          <w:lang w:val="en-US" w:eastAsia="zh-CN"/>
        </w:rPr>
      </w:pPr>
      <w:r>
        <w:drawing>
          <wp:inline distT="0" distB="0" distL="114300" distR="114300">
            <wp:extent cx="4811395" cy="2703830"/>
            <wp:effectExtent l="0" t="0" r="4445" b="889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1"/>
                    <a:stretch>
                      <a:fillRect/>
                    </a:stretch>
                  </pic:blipFill>
                  <pic:spPr>
                    <a:xfrm>
                      <a:off x="0" y="0"/>
                      <a:ext cx="4811395" cy="2703830"/>
                    </a:xfrm>
                    <a:prstGeom prst="rect">
                      <a:avLst/>
                    </a:prstGeom>
                    <a:noFill/>
                    <a:ln>
                      <a:noFill/>
                    </a:ln>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内地与香港跨境破产合作</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从上面的介绍看得出，申请（或是申请撤销）香港保全需要充分了解有关香港法的实践，才能预判成功几率和成功后的效果。无论内地采取的财产保全措施还是香港的资产冻结令，虽形式不同，但实质都是为了保障申请人一方最终的胜诉判决不会因为被申请人一方转移资产而无法获得履行，只有切实理解、充分把握两地制度，</w:t>
      </w:r>
      <w:r>
        <w:rPr>
          <w:rFonts w:hint="eastAsia" w:ascii="仿宋" w:hAnsi="仿宋" w:eastAsia="仿宋" w:cs="仿宋"/>
          <w:b w:val="0"/>
          <w:bCs w:val="0"/>
          <w:sz w:val="24"/>
          <w:szCs w:val="24"/>
          <w:lang w:val="en-US" w:eastAsia="zh-CN"/>
        </w:rPr>
        <w:t>加强内地律师与香港律师的合作，</w:t>
      </w:r>
      <w:r>
        <w:rPr>
          <w:rFonts w:hint="default" w:ascii="仿宋" w:hAnsi="仿宋" w:eastAsia="仿宋" w:cs="仿宋"/>
          <w:b w:val="0"/>
          <w:bCs w:val="0"/>
          <w:sz w:val="24"/>
          <w:szCs w:val="24"/>
          <w:lang w:val="en-US" w:eastAsia="zh-CN"/>
        </w:rPr>
        <w:t>才能更好保障两地当事人合法权益。</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jc w:val="center"/>
        <w:textAlignment w:val="auto"/>
        <w:rPr>
          <w:rFonts w:ascii="Times New Roman" w:hAnsi="Times New Roman" w:eastAsia="仿宋" w:cs="Times New Roman"/>
          <w:sz w:val="28"/>
          <w:szCs w:val="28"/>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right="0" w:rightChars="0"/>
        <w:jc w:val="center"/>
        <w:textAlignment w:val="auto"/>
        <w:rPr>
          <w:rFonts w:ascii="Times New Roman" w:hAnsi="Times New Roman" w:eastAsia="仿宋" w:cs="Times New Roman"/>
          <w:sz w:val="28"/>
          <w:szCs w:val="28"/>
        </w:rPr>
      </w:pPr>
      <w:r>
        <w:rPr>
          <w:rFonts w:ascii="Times New Roman" w:hAnsi="Times New Roman" w:eastAsia="仿宋" w:cs="Times New Roman"/>
          <w:sz w:val="28"/>
          <w:szCs w:val="28"/>
        </w:rPr>
        <w:t>（全文结束）</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eastAsia" w:ascii="仿宋" w:hAnsi="仿宋" w:eastAsia="仿宋" w:cs="仿宋"/>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both"/>
        <w:textAlignment w:val="auto"/>
        <w:rPr>
          <w:rFonts w:hint="default" w:ascii="仿宋" w:hAnsi="仿宋" w:eastAsia="仿宋" w:cs="仿宋"/>
          <w:b/>
          <w:bCs/>
          <w:sz w:val="32"/>
          <w:szCs w:val="32"/>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hint="eastAsia" w:ascii="仿宋" w:hAnsi="仿宋" w:eastAsia="仿宋" w:cs="仿宋"/>
        <w:lang w:val="en-US" w:eastAsia="zh-CN"/>
      </w:rPr>
    </w:pPr>
    <w:r>
      <w:rPr>
        <w:rFonts w:hint="eastAsia" w:ascii="仿宋" w:hAnsi="仿宋" w:eastAsia="仿宋" w:cs="仿宋"/>
        <w:lang w:val="en-US" w:eastAsia="zh-CN"/>
      </w:rPr>
      <w:t>关于提请深圳律协国际投资委主任会议审议“香港与内地跨境争议中的财产保全、判决执行及跨境破产”业务交流会活动评分的申请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94FB9E"/>
    <w:multiLevelType w:val="singleLevel"/>
    <w:tmpl w:val="C394FB9E"/>
    <w:lvl w:ilvl="0" w:tentative="0">
      <w:start w:val="1"/>
      <w:numFmt w:val="chineseCounting"/>
      <w:suff w:val="nothing"/>
      <w:lvlText w:val="%1、"/>
      <w:lvlJc w:val="left"/>
      <w:rPr>
        <w:rFonts w:hint="eastAsia"/>
        <w:b/>
        <w:bCs/>
      </w:rPr>
    </w:lvl>
  </w:abstractNum>
  <w:abstractNum w:abstractNumId="1">
    <w:nsid w:val="6037FD62"/>
    <w:multiLevelType w:val="singleLevel"/>
    <w:tmpl w:val="6037FD62"/>
    <w:lvl w:ilvl="0" w:tentative="0">
      <w:start w:val="1"/>
      <w:numFmt w:val="chineseCounting"/>
      <w:suff w:val="space"/>
      <w:lvlText w:val="第%1部分"/>
      <w:lvlJc w:val="left"/>
      <w:rPr>
        <w:rFonts w:hint="eastAsia"/>
        <w:sz w:val="32"/>
        <w:szCs w:val="32"/>
      </w:rPr>
    </w:lvl>
  </w:abstractNum>
  <w:abstractNum w:abstractNumId="2">
    <w:nsid w:val="7942C419"/>
    <w:multiLevelType w:val="singleLevel"/>
    <w:tmpl w:val="7942C419"/>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zZTMzNzZiYWY2NTkxNDY1Mzc3MGVjNTY4Y2NiNWQifQ=="/>
  </w:docVars>
  <w:rsids>
    <w:rsidRoot w:val="4FC779C2"/>
    <w:rsid w:val="01FF48C2"/>
    <w:rsid w:val="047C7757"/>
    <w:rsid w:val="0BC212B2"/>
    <w:rsid w:val="0DCA5B8A"/>
    <w:rsid w:val="0EF201C9"/>
    <w:rsid w:val="0FDF5898"/>
    <w:rsid w:val="21F05BDA"/>
    <w:rsid w:val="276724A4"/>
    <w:rsid w:val="29BD30E4"/>
    <w:rsid w:val="306E01FD"/>
    <w:rsid w:val="388D6D60"/>
    <w:rsid w:val="40F30C14"/>
    <w:rsid w:val="42BC2E2F"/>
    <w:rsid w:val="43E705E8"/>
    <w:rsid w:val="44611F83"/>
    <w:rsid w:val="4FC779C2"/>
    <w:rsid w:val="5007085B"/>
    <w:rsid w:val="500D726A"/>
    <w:rsid w:val="54E044C3"/>
    <w:rsid w:val="5AE02E08"/>
    <w:rsid w:val="5B145CA1"/>
    <w:rsid w:val="5D895133"/>
    <w:rsid w:val="5EB237E6"/>
    <w:rsid w:val="60C452CD"/>
    <w:rsid w:val="7C2B5099"/>
    <w:rsid w:val="7EB60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2022-04-21T11:32:00Z</dcterms:created>
  <dc:creator>Mina-JunZeJun</dc:creator>
  <cp:lastModifiedBy>CARMEN</cp:lastModifiedBy>
  <dcterms:modified xsi:type="dcterms:W3CDTF">2024-04-28T07:15:14Z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9025AB28EFF642A9958919AC5DE71313_13</vt:lpwstr>
  </property>
</Properties>
</file>