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750" w:lineRule="atLeast"/>
        <w:ind w:left="0" w:right="0" w:firstLine="0"/>
        <w:jc w:val="center"/>
        <w:rPr>
          <w:rFonts w:hint="eastAsia" w:ascii="微软雅黑" w:hAnsi="微软雅黑" w:eastAsia="微软雅黑" w:cs="微软雅黑"/>
          <w:i w:val="0"/>
          <w:iCs w:val="0"/>
          <w:caps w:val="0"/>
          <w:color w:val="000000"/>
          <w:spacing w:val="15"/>
          <w:sz w:val="27"/>
          <w:szCs w:val="27"/>
          <w:bdr w:val="none" w:color="auto" w:sz="0" w:space="0"/>
        </w:rPr>
      </w:pPr>
      <w:r>
        <w:rPr>
          <w:rFonts w:hint="eastAsia" w:ascii="微软雅黑" w:hAnsi="微软雅黑" w:eastAsia="微软雅黑" w:cs="微软雅黑"/>
          <w:b/>
          <w:bCs/>
          <w:i w:val="0"/>
          <w:iCs w:val="0"/>
          <w:caps w:val="0"/>
          <w:color w:val="4D4F53"/>
          <w:spacing w:val="0"/>
          <w:sz w:val="48"/>
          <w:szCs w:val="48"/>
          <w:bdr w:val="none" w:color="auto" w:sz="0" w:space="0"/>
        </w:rPr>
        <w:t>医药领域并购活跃 9月十余家A股公司披露动态</w:t>
      </w:r>
      <w:bookmarkStart w:id="0" w:name="_GoBack"/>
      <w:bookmarkEnd w:id="0"/>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0" w:afterAutospacing="0"/>
        <w:ind w:left="0" w:right="0" w:firstLine="0"/>
        <w:rPr>
          <w:rFonts w:hint="eastAsia" w:ascii="微软雅黑" w:hAnsi="微软雅黑" w:eastAsia="微软雅黑" w:cs="微软雅黑"/>
          <w:i w:val="0"/>
          <w:iCs w:val="0"/>
          <w:caps w:val="0"/>
          <w:color w:val="000000"/>
          <w:spacing w:val="15"/>
          <w:sz w:val="27"/>
          <w:szCs w:val="27"/>
        </w:rPr>
      </w:pPr>
      <w:r>
        <w:rPr>
          <w:rFonts w:hint="eastAsia" w:ascii="微软雅黑" w:hAnsi="微软雅黑" w:eastAsia="微软雅黑" w:cs="微软雅黑"/>
          <w:i w:val="0"/>
          <w:iCs w:val="0"/>
          <w:caps w:val="0"/>
          <w:color w:val="000000"/>
          <w:spacing w:val="15"/>
          <w:sz w:val="27"/>
          <w:szCs w:val="27"/>
          <w:bdr w:val="none" w:color="auto" w:sz="0" w:space="0"/>
        </w:rPr>
        <w:t>近期，医药领域并购活跃。</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"https://finance.sina.com.cn/realstock/company/sz300033/nc.shtml"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同花顺</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(76.770, 0.00, 0.00%)iFinD数据显示，以最新公告日期作为统计标准，截至9月12日记者发稿时，今年以来，A股医药生物上市公司合计发布231份并购重组相关公告（剔除失败案例），共涉及上市公司163家。其中，9月以来便有13家A股上市公司发布并购重组相关公告。</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0" w:afterAutospacing="0"/>
        <w:ind w:left="0" w:right="0" w:firstLine="0"/>
        <w:rPr>
          <w:rFonts w:hint="eastAsia" w:ascii="微软雅黑" w:hAnsi="微软雅黑" w:eastAsia="微软雅黑" w:cs="微软雅黑"/>
          <w:i w:val="0"/>
          <w:iCs w:val="0"/>
          <w:caps w:val="0"/>
          <w:color w:val="000000"/>
          <w:spacing w:val="15"/>
          <w:sz w:val="27"/>
          <w:szCs w:val="27"/>
        </w:rPr>
      </w:pPr>
      <w:r>
        <w:rPr>
          <w:rFonts w:hint="eastAsia" w:ascii="微软雅黑" w:hAnsi="微软雅黑" w:eastAsia="微软雅黑" w:cs="微软雅黑"/>
          <w:i w:val="0"/>
          <w:iCs w:val="0"/>
          <w:caps w:val="0"/>
          <w:color w:val="000000"/>
          <w:spacing w:val="15"/>
          <w:sz w:val="27"/>
          <w:szCs w:val="27"/>
          <w:bdr w:val="none" w:color="auto" w:sz="0" w:space="0"/>
        </w:rPr>
        <w:t>9月10日，</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"https://finance.sina.com.cn/realstock/company/sh600329/nc.shtml"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达仁堂</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(22.210, 0.00, 0.00%)发布并购重组后续公告称，拟向控股子公司天津中新科炬生物制药股份有限公司增资4320万元。此前的8月22日，达仁堂公告称，公司拟通过协议转让方式以不超过9元/股的价格分阶段收购天津中新科炬生物制药股份有限公司现有股东不超过1196.86万股股权，合计总投资不超过1.08亿元。达仁堂表示，本次收购系公司为整合医疗器械和医药流通资源，打造体外诊断行业尤其是POCT领域的平台而作出的决定。</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0" w:afterAutospacing="0"/>
        <w:ind w:left="0" w:right="0" w:firstLine="0"/>
        <w:rPr>
          <w:rFonts w:hint="eastAsia" w:ascii="微软雅黑" w:hAnsi="微软雅黑" w:eastAsia="微软雅黑" w:cs="微软雅黑"/>
          <w:i w:val="0"/>
          <w:iCs w:val="0"/>
          <w:caps w:val="0"/>
          <w:color w:val="000000"/>
          <w:spacing w:val="15"/>
          <w:sz w:val="27"/>
          <w:szCs w:val="27"/>
        </w:rPr>
      </w:pPr>
      <w:r>
        <w:rPr>
          <w:rFonts w:hint="eastAsia" w:ascii="微软雅黑" w:hAnsi="微软雅黑" w:eastAsia="微软雅黑" w:cs="微软雅黑"/>
          <w:i w:val="0"/>
          <w:iCs w:val="0"/>
          <w:caps w:val="0"/>
          <w:color w:val="000000"/>
          <w:spacing w:val="15"/>
          <w:sz w:val="27"/>
          <w:szCs w:val="27"/>
          <w:bdr w:val="none" w:color="auto" w:sz="0" w:space="0"/>
        </w:rPr>
        <w:t>9月9日，</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"https://finance.sina.com.cn/realstock/company/sh605266/nc.shtml"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健之佳</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(46.040, 0.00, 0.00%)也发布关于重大资产重组的进展公告。公告显示，健之佳拟通过支付现金方式，分两个阶段购买河北唐人医药股份有限公司（下称“唐人医药”）股东合计持有的标的公司100%股权。截至9月7日，本次交易的股权转让款已全部支付完毕。唐人医药成为健之佳控股子公司，健之佳实现了对唐人医药连锁药房品牌及直营门店、各项经营资产、经营资源及其经营权益的并购。</w:t>
      </w:r>
    </w:p>
    <w:p>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450" w:afterAutospacing="0"/>
        <w:ind w:left="0" w:right="0" w:firstLine="0"/>
        <w:rPr>
          <w:rFonts w:hint="eastAsia" w:ascii="微软雅黑" w:hAnsi="微软雅黑" w:eastAsia="微软雅黑" w:cs="微软雅黑"/>
          <w:i w:val="0"/>
          <w:iCs w:val="0"/>
          <w:caps w:val="0"/>
          <w:color w:val="000000"/>
          <w:spacing w:val="15"/>
          <w:sz w:val="27"/>
          <w:szCs w:val="27"/>
        </w:rPr>
      </w:pPr>
      <w:r>
        <w:rPr>
          <w:rFonts w:hint="eastAsia" w:ascii="微软雅黑" w:hAnsi="微软雅黑" w:eastAsia="微软雅黑" w:cs="微软雅黑"/>
          <w:i w:val="0"/>
          <w:iCs w:val="0"/>
          <w:caps w:val="0"/>
          <w:color w:val="000000"/>
          <w:spacing w:val="15"/>
          <w:sz w:val="27"/>
          <w:szCs w:val="27"/>
          <w:bdr w:val="none" w:color="auto" w:sz="0" w:space="0"/>
        </w:rPr>
        <w:t>记者梳理发现，今年以来，医药生物领域已出现多起10亿元以上的较大规模并购项目。从目的来看，多与产业整合、扩大规模等相关。6月30日，健之佳披露的重大资产购买报告书草案显示，拟以20.74亿元收购唐人医药100%的股权，这是该公司上市后最大手笔股权收购，也刷新了国内药品零售连锁领域已知的单笔并购交易纪录。5月6日，</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"https://finance.sina.com.cn/realstock/company/sz000999/nc.shtml"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华润三九</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(36.710, 0.00, 0.00%)与华立医药及其一致行动人华立集团签订了《股权转让协议》，协议约定，华润三九将从华立医药、华立集团处受让</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"https://finance.sina.com.cn/realstock/company/sh600422/nc.shtml"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昆药集团</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(11.210, 0.00, 0.00%)28%的股权，标的股份转让总价款为人民币29.02亿元，对应每股转让价格为人民币13.67元。今年3月，</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"https://finance.sina.com.cn/realstock/company/sh603883/nc.shtml"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老百姓</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(32.170, 0.00, 0.00%)大药房以16.37亿元完成了对湖南怀仁大健康产业发展有限公司71.9643%股权的收购。此外，还有</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"https://finance.sina.com.cn/realstock/company/sz000538/nc.shtml"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云南白药</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(52.510, 0.00, 0.00%)、</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"https://finance.sina.com.cn/realstock/company/sz300298/nc.shtml"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三诺生物</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(27.390, 0.00, 0.00%)、</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"https://finance.sina.com.cn/realstock/company/sz300158/nc.shtml"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振东制药</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(4.860, 0.00, 0.00%)等九家A股上市药企的10亿元以上的大额并购重组项目宣告完成，而</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"https://finance.sina.com.cn/realstock/company/sh688189/nc.shtml"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南新制药</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(15.280, 0.00, 0.00%)、</w:t>
      </w:r>
      <w:r>
        <w:rPr>
          <w:rFonts w:hint="eastAsia" w:ascii="微软雅黑" w:hAnsi="微软雅黑" w:eastAsia="微软雅黑" w:cs="微软雅黑"/>
          <w:i w:val="0"/>
          <w:iCs w:val="0"/>
          <w:caps w:val="0"/>
          <w:color w:val="3753A2"/>
          <w:spacing w:val="15"/>
          <w:sz w:val="27"/>
          <w:szCs w:val="27"/>
          <w:u w:val="none"/>
          <w:bdr w:val="none" w:color="auto" w:sz="0" w:space="0"/>
        </w:rPr>
        <w:fldChar w:fldCharType="begin"/>
      </w:r>
      <w:r>
        <w:rPr>
          <w:rFonts w:hint="eastAsia" w:ascii="微软雅黑" w:hAnsi="微软雅黑" w:eastAsia="微软雅黑" w:cs="微软雅黑"/>
          <w:i w:val="0"/>
          <w:iCs w:val="0"/>
          <w:caps w:val="0"/>
          <w:color w:val="3753A2"/>
          <w:spacing w:val="15"/>
          <w:sz w:val="27"/>
          <w:szCs w:val="27"/>
          <w:u w:val="none"/>
          <w:bdr w:val="none" w:color="auto" w:sz="0" w:space="0"/>
        </w:rPr>
        <w:instrText xml:space="preserve"> HYPERLINK "https://finance.sina.com.cn/realstock/company/sh600332/nc.shtml" \t "http://finance.sina.com.cn/jjxw/2022-09-13/_blank" </w:instrText>
      </w:r>
      <w:r>
        <w:rPr>
          <w:rFonts w:hint="eastAsia" w:ascii="微软雅黑" w:hAnsi="微软雅黑" w:eastAsia="微软雅黑" w:cs="微软雅黑"/>
          <w:i w:val="0"/>
          <w:iCs w:val="0"/>
          <w:caps w:val="0"/>
          <w:color w:val="3753A2"/>
          <w:spacing w:val="15"/>
          <w:sz w:val="27"/>
          <w:szCs w:val="27"/>
          <w:u w:val="none"/>
          <w:bdr w:val="none" w:color="auto" w:sz="0" w:space="0"/>
        </w:rPr>
        <w:fldChar w:fldCharType="separate"/>
      </w:r>
      <w:r>
        <w:rPr>
          <w:rStyle w:val="6"/>
          <w:rFonts w:hint="eastAsia" w:ascii="微软雅黑" w:hAnsi="微软雅黑" w:eastAsia="微软雅黑" w:cs="微软雅黑"/>
          <w:i w:val="0"/>
          <w:iCs w:val="0"/>
          <w:caps w:val="0"/>
          <w:color w:val="3753A2"/>
          <w:spacing w:val="15"/>
          <w:sz w:val="27"/>
          <w:szCs w:val="27"/>
          <w:u w:val="none"/>
          <w:bdr w:val="none" w:color="auto" w:sz="0" w:space="0"/>
        </w:rPr>
        <w:t>白云山</w:t>
      </w:r>
      <w:r>
        <w:rPr>
          <w:rFonts w:hint="eastAsia" w:ascii="微软雅黑" w:hAnsi="微软雅黑" w:eastAsia="微软雅黑" w:cs="微软雅黑"/>
          <w:i w:val="0"/>
          <w:iCs w:val="0"/>
          <w:caps w:val="0"/>
          <w:color w:val="3753A2"/>
          <w:spacing w:val="15"/>
          <w:sz w:val="27"/>
          <w:szCs w:val="27"/>
          <w:u w:val="none"/>
          <w:bdr w:val="none" w:color="auto" w:sz="0" w:space="0"/>
        </w:rPr>
        <w:fldChar w:fldCharType="end"/>
      </w:r>
      <w:r>
        <w:rPr>
          <w:rFonts w:hint="eastAsia" w:ascii="微软雅黑" w:hAnsi="微软雅黑" w:eastAsia="微软雅黑" w:cs="微软雅黑"/>
          <w:i w:val="0"/>
          <w:iCs w:val="0"/>
          <w:caps w:val="0"/>
          <w:color w:val="000000"/>
          <w:spacing w:val="15"/>
          <w:sz w:val="27"/>
          <w:szCs w:val="27"/>
          <w:bdr w:val="none" w:color="auto" w:sz="0" w:space="0"/>
        </w:rPr>
        <w:t>(25.650, 0.00, 0.00%)等上市药企的10亿元并购项目仍在进行中。</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BmYTNjMWVkMmI4ZTZiYWIwZjA1OGFiNmZiMWU2ZmYifQ=="/>
  </w:docVars>
  <w:rsids>
    <w:rsidRoot w:val="00000000"/>
    <w:rsid w:val="15156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2022-09-30T01:22:52Z</dcterms:created>
  <dc:creator>admin</dc:creator>
  <cp:lastModifiedBy>L</cp:lastModifiedBy>
  <dcterms:modified xsi:type="dcterms:W3CDTF">2022-09-30T01:23:23Z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E194471494EA4A3589D6A154333C1DA7</vt:lpwstr>
  </property>
</Properties>
</file>