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仿宋" w:hAnsi="仿宋" w:eastAsia="华文中宋" w:cs="仿宋"/>
          <w:b/>
          <w:bCs/>
          <w:sz w:val="44"/>
          <w:szCs w:val="44"/>
          <w:lang w:eastAsia="zh-CN"/>
        </w:rPr>
      </w:pPr>
      <w:bookmarkStart w:id="137" w:name="_GoBack"/>
      <w:bookmarkStart w:id="0" w:name="_Toc17113"/>
      <w:bookmarkStart w:id="1" w:name="_Toc11305"/>
      <w:bookmarkStart w:id="2" w:name="_Toc18348"/>
      <w:bookmarkStart w:id="3" w:name="_Toc18144"/>
      <w:r>
        <w:rPr>
          <w:rFonts w:hint="eastAsia" w:ascii="华文中宋" w:hAnsi="华文中宋" w:eastAsia="华文中宋" w:cs="华文中宋"/>
          <w:b/>
          <w:bCs/>
          <w:sz w:val="44"/>
          <w:szCs w:val="44"/>
        </w:rPr>
        <w:t>深圳市律师协会律师办理国际货物</w:t>
      </w:r>
      <w:bookmarkEnd w:id="0"/>
      <w:bookmarkEnd w:id="1"/>
      <w:bookmarkEnd w:id="2"/>
      <w:bookmarkEnd w:id="3"/>
      <w:bookmarkStart w:id="4" w:name="_Toc24554"/>
      <w:bookmarkStart w:id="5" w:name="_Toc19449"/>
      <w:bookmarkStart w:id="6" w:name="_Toc4930"/>
      <w:bookmarkStart w:id="7" w:name="_Toc28519"/>
      <w:r>
        <w:rPr>
          <w:rFonts w:hint="eastAsia" w:ascii="华文中宋" w:hAnsi="华文中宋" w:eastAsia="华文中宋" w:cs="华文中宋"/>
          <w:b/>
          <w:bCs/>
          <w:sz w:val="44"/>
          <w:szCs w:val="44"/>
        </w:rPr>
        <w:t>运输纠纷业务操作指引</w:t>
      </w:r>
      <w:bookmarkEnd w:id="4"/>
      <w:bookmarkEnd w:id="5"/>
      <w:bookmarkEnd w:id="6"/>
      <w:bookmarkEnd w:id="7"/>
      <w:r>
        <w:rPr>
          <w:rFonts w:hint="eastAsia" w:ascii="华文中宋" w:hAnsi="华文中宋" w:eastAsia="华文中宋" w:cs="华文中宋"/>
          <w:b/>
          <w:bCs/>
          <w:sz w:val="44"/>
          <w:szCs w:val="44"/>
          <w:lang w:eastAsia="zh-CN"/>
        </w:rPr>
        <w:t>（</w:t>
      </w:r>
      <w:r>
        <w:rPr>
          <w:rFonts w:hint="eastAsia" w:ascii="华文中宋" w:hAnsi="华文中宋" w:eastAsia="华文中宋" w:cs="华文中宋"/>
          <w:b/>
          <w:bCs/>
          <w:sz w:val="44"/>
          <w:szCs w:val="44"/>
          <w:lang w:val="en-US" w:eastAsia="zh-CN"/>
        </w:rPr>
        <w:t>征求意见稿</w:t>
      </w:r>
      <w:r>
        <w:rPr>
          <w:rFonts w:hint="eastAsia" w:ascii="华文中宋" w:hAnsi="华文中宋" w:eastAsia="华文中宋" w:cs="华文中宋"/>
          <w:b/>
          <w:bCs/>
          <w:sz w:val="44"/>
          <w:szCs w:val="44"/>
          <w:lang w:eastAsia="zh-CN"/>
        </w:rPr>
        <w:t>）</w:t>
      </w:r>
    </w:p>
    <w:bookmarkEnd w:id="137"/>
    <w:p>
      <w:pPr>
        <w:keepNext w:val="0"/>
        <w:keepLines w:val="0"/>
        <w:pageBreakBefore w:val="0"/>
        <w:kinsoku/>
        <w:wordWrap/>
        <w:overflowPunct/>
        <w:topLinePunct w:val="0"/>
        <w:autoSpaceDE/>
        <w:autoSpaceDN/>
        <w:bidi w:val="0"/>
        <w:adjustRightInd/>
        <w:snapToGrid/>
        <w:spacing w:before="0" w:after="0" w:line="560" w:lineRule="exact"/>
        <w:ind w:left="0" w:leftChars="0" w:right="0" w:rightChars="0" w:firstLine="0" w:firstLineChars="0"/>
        <w:jc w:val="center"/>
        <w:textAlignment w:val="auto"/>
        <w:rPr>
          <w:rFonts w:ascii="宋体" w:hAnsi="宋体" w:eastAsia="宋体" w:cs="Times New Roman"/>
          <w:kern w:val="2"/>
          <w:sz w:val="21"/>
          <w:szCs w:val="24"/>
          <w:lang w:val="en-US" w:eastAsia="zh-CN" w:bidi="ar-SA"/>
        </w:rPr>
      </w:pPr>
    </w:p>
    <w:sdt>
      <w:sdtPr>
        <w:rPr>
          <w:rFonts w:ascii="宋体" w:hAnsi="宋体" w:eastAsia="宋体" w:cs="Times New Roman"/>
          <w:kern w:val="2"/>
          <w:sz w:val="21"/>
          <w:szCs w:val="24"/>
          <w:lang w:val="en-US" w:eastAsia="zh-CN" w:bidi="ar-SA"/>
        </w:rPr>
        <w:id w:val="147472415"/>
        <w15:color w:val="DBDBDB"/>
        <w:docPartObj>
          <w:docPartGallery w:val="Table of Contents"/>
          <w:docPartUnique/>
        </w:docPartObj>
      </w:sdtPr>
      <w:sdtEndPr>
        <w:rPr>
          <w:rFonts w:hint="eastAsia" w:ascii="仿宋" w:hAnsi="仿宋" w:eastAsia="仿宋" w:cs="仿宋"/>
          <w:bCs/>
          <w:kern w:val="2"/>
          <w:sz w:val="21"/>
          <w:szCs w:val="32"/>
          <w:lang w:val="en-US" w:eastAsia="zh-CN" w:bidi="ar-SA"/>
        </w:rPr>
      </w:sdtEndPr>
      <w:sdtContent>
        <w:p>
          <w:pPr>
            <w:keepNext w:val="0"/>
            <w:keepLines w:val="0"/>
            <w:pageBreakBefore w:val="0"/>
            <w:kinsoku/>
            <w:wordWrap/>
            <w:overflowPunct/>
            <w:topLinePunct w:val="0"/>
            <w:autoSpaceDE/>
            <w:autoSpaceDN/>
            <w:bidi w:val="0"/>
            <w:adjustRightInd/>
            <w:snapToGrid/>
            <w:spacing w:before="0" w:after="0" w:line="560" w:lineRule="exact"/>
            <w:ind w:left="0" w:leftChars="0" w:right="0" w:rightChars="0" w:firstLine="0" w:firstLineChars="0"/>
            <w:jc w:val="center"/>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黑体" w:hAnsi="黑体" w:eastAsia="黑体" w:cs="黑体"/>
              <w:color w:val="auto"/>
              <w:kern w:val="2"/>
              <w:sz w:val="32"/>
              <w:szCs w:val="32"/>
              <w:u w:val="none"/>
              <w:lang w:val="en-US" w:eastAsia="zh-CN" w:bidi="ar-SA"/>
            </w:rPr>
            <w:t>目录</w:t>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textAlignment w:val="auto"/>
          </w:pPr>
          <w:r>
            <w:rPr>
              <w:rFonts w:hint="eastAsia" w:ascii="仿宋" w:hAnsi="仿宋" w:eastAsia="仿宋" w:cs="仿宋"/>
              <w:b/>
              <w:bCs/>
              <w:sz w:val="32"/>
              <w:szCs w:val="32"/>
            </w:rPr>
            <w:fldChar w:fldCharType="begin"/>
          </w:r>
          <w:r>
            <w:rPr>
              <w:rFonts w:hint="eastAsia" w:ascii="仿宋" w:hAnsi="仿宋" w:eastAsia="仿宋" w:cs="仿宋"/>
              <w:b/>
              <w:bCs/>
              <w:sz w:val="32"/>
              <w:szCs w:val="32"/>
            </w:rPr>
            <w:instrText xml:space="preserve">TOC \o "1-3" \h \u </w:instrText>
          </w:r>
          <w:r>
            <w:rPr>
              <w:rFonts w:hint="eastAsia" w:ascii="仿宋" w:hAnsi="仿宋" w:eastAsia="仿宋" w:cs="仿宋"/>
              <w:b/>
              <w:bCs/>
              <w:sz w:val="32"/>
              <w:szCs w:val="32"/>
            </w:rPr>
            <w:fldChar w:fldCharType="separate"/>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_Toc18796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第一章  总 则</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_Toc18796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6</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9"/>
            <w:keepNext w:val="0"/>
            <w:keepLines w:val="0"/>
            <w:pageBreakBefore w:val="0"/>
            <w:widowControl/>
            <w:tabs>
              <w:tab w:val="right" w:leader="dot" w:pos="9072"/>
            </w:tabs>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_Toc17599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第一条 目的</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_Toc17599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6</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9"/>
            <w:keepNext w:val="0"/>
            <w:keepLines w:val="0"/>
            <w:pageBreakBefore w:val="0"/>
            <w:widowControl/>
            <w:tabs>
              <w:tab w:val="right" w:leader="dot" w:pos="9072"/>
            </w:tabs>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_Toc32082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第二条 定义</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_Toc32082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6</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9"/>
            <w:keepNext w:val="0"/>
            <w:keepLines w:val="0"/>
            <w:pageBreakBefore w:val="0"/>
            <w:widowControl/>
            <w:tabs>
              <w:tab w:val="right" w:leader="dot" w:pos="9072"/>
            </w:tabs>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_Toc16361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第三条 可提供的服务</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_Toc16361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6</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9"/>
            <w:keepNext w:val="0"/>
            <w:keepLines w:val="0"/>
            <w:pageBreakBefore w:val="0"/>
            <w:widowControl/>
            <w:tabs>
              <w:tab w:val="right" w:leader="dot" w:pos="9072"/>
            </w:tabs>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_Toc12128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第四条 办案准则</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_Toc12128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6</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9"/>
            <w:keepNext w:val="0"/>
            <w:keepLines w:val="0"/>
            <w:pageBreakBefore w:val="0"/>
            <w:widowControl/>
            <w:tabs>
              <w:tab w:val="right" w:leader="dot" w:pos="9072"/>
            </w:tabs>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_Toc1719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第五条 律师职责</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_Toc1719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7</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9"/>
            <w:keepNext w:val="0"/>
            <w:keepLines w:val="0"/>
            <w:pageBreakBefore w:val="0"/>
            <w:widowControl/>
            <w:tabs>
              <w:tab w:val="right" w:leader="dot" w:pos="9072"/>
            </w:tabs>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_Toc27952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第六条 保守秘密</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_Toc27952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7</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9"/>
            <w:keepNext w:val="0"/>
            <w:keepLines w:val="0"/>
            <w:pageBreakBefore w:val="0"/>
            <w:widowControl/>
            <w:tabs>
              <w:tab w:val="right" w:leader="dot" w:pos="9072"/>
            </w:tabs>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_Toc6974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第七条 公平竞争</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_Toc6974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7</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9"/>
            <w:keepNext w:val="0"/>
            <w:keepLines w:val="0"/>
            <w:pageBreakBefore w:val="0"/>
            <w:widowControl/>
            <w:tabs>
              <w:tab w:val="right" w:leader="dot" w:pos="9072"/>
            </w:tabs>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_Toc14297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第八条 禁止事项</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_Toc14297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7</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9"/>
            <w:keepNext w:val="0"/>
            <w:keepLines w:val="0"/>
            <w:pageBreakBefore w:val="0"/>
            <w:widowControl/>
            <w:tabs>
              <w:tab w:val="right" w:leader="dot" w:pos="9072"/>
            </w:tabs>
            <w:kinsoku/>
            <w:wordWrap/>
            <w:overflowPunct/>
            <w:topLinePunct w:val="0"/>
            <w:autoSpaceDE/>
            <w:autoSpaceDN/>
            <w:bidi w:val="0"/>
            <w:adjustRightInd/>
            <w:snapToGrid/>
            <w:spacing w:line="560" w:lineRule="exact"/>
            <w:ind w:left="0" w:leftChars="0" w:firstLine="640" w:firstLineChars="200"/>
            <w:textAlignment w:val="auto"/>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_Toc19496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第九条 不得承诺或保证</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_Toc19496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7</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_Toc30086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第二章  业务洽谈和接受委托</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_Toc30086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7</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_Toc6265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第十条 接受委托注意事项</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_Toc6265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7</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_Toc7337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第十一条 业务洽谈注意事项</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_Toc7337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8</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_Toc10860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第十二条 拒绝代理</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_Toc10860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8</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_Toc19931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第十三条 不得接受委托情形</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_Toc19931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8</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_Toc27226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第十四条 接受委托注意事项</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_Toc27226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8</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_Toc31144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第十五条 代理注意事项</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_Toc31144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9</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_Toc29133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第十六条 收案登记</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_Toc29133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10</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_Toc23003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第三章 非诉专项法律服务</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_Toc23003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10</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_Toc10282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第十七条 目的</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_Toc10282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10</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_Toc517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第十八条 尽职调查内容</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_Toc517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11</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_Toc23952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第十九条 起草、审查文书</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_Toc23952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12</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_Toc10573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第二十条 法律意见书</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_Toc10573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12</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_Toc7655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第四章  案件代理</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_Toc7655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12</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_Toc8153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第一节 诉前准备</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_Toc8153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12</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_Toc1331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第二十二条 审阅证据材料</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_Toc1331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12</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_Toc13381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第二十三条 进行委托内容</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_Toc13381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14</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_Toc26529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第二节 其他诉前工作</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_Toc26529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14</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_Toc12802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第二十四条 参与谈判、和解</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_Toc12802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14</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_Toc29426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第二十五条 委托人分析</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_Toc29426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14</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_Toc10139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第二十六条 国内货运代理企业资格审查</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_Toc10139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14</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_Toc23588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第二十七条 托运人资格审查</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_Toc23588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14</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_Toc23598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第二十八条 收货人资格审查</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_Toc23598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15</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_Toc912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第二十九条 承运人、船公司、无船承运人资格审查</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_Toc912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15</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_Toc21915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第三十条 国际船舶代理企业资格审查</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_Toc21915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16</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_Toc2775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第三节 常见跨境电商货损的主要情况及涉诉要点分析</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_Toc2775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16</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_Toc7478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第三十一条 概念</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_Toc7478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16</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_Toc29523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第三十二条 案由</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_Toc29523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16</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_Toc7934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第三十三条 主管与管辖</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_Toc7934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20</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_Toc20708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第三十四条 诉讼主体</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_Toc20708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21</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_Toc8110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第三十五条 诉讼时效</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_Toc8110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22</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_Toc15441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第三十六条 诉讼请求</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_Toc15441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22</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_Toc26650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第三十七条 赔偿数额的计算</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_Toc26650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23</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_Toc18841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第三十八条 法律适用</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_Toc18841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24</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_Toc30906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第四节 起诉或应诉</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_Toc30906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25</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_Toc10730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第三十九条 起诉状/仲裁申请书</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_Toc10730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25</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_Toc28245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第四十条 财产保全申请</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_Toc28245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25</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_Toc7695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第四十一条 诉前财产保全</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_Toc7695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25</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_Toc18722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第四十二条 诉讼/仲裁费</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_Toc18722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26</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_Toc17814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第四十三条 举证</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_Toc17814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26</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_Toc4575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第四十四条  管辖异议</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_Toc4575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26</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_Toc30729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第四十五条 反诉/反请求</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_Toc30729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26</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_Toc29865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第四十六条 调查、收集证据材料</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_Toc29865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27</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_Toc225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第四十七条 调查取证</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_Toc225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27</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_Toc7198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第四十八条 证明材料</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_Toc7198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28</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_Toc25499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第四十九条 制作调查笔录</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_Toc25499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28</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_Toc16563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第五十条 申请调查取证</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_Toc16563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28</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_Toc10096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第五十一条 调查取证辅助</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_Toc10096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28</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_Toc28443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第五十二条 申请保全证据</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_Toc28443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29</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_Toc678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第五十三条 证据的整理和提交</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_Toc678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29</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_Toc11733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第五十四条 参加庭审</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_Toc11733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30</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_Toc19079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第五十五条 回避申请</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_Toc19079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30</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_Toc27299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第五十六条 开庭准备</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_Toc27299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31</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_Toc29930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第五十七条 证人出庭</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_Toc29930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31</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_Toc28337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第五十八条 参加诉讼/仲裁要求</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_Toc28337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31</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_Toc28212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第五十九条 核对到庭当事人身份</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_Toc28212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31</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_Toc17688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第六十条 法庭调查</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_Toc17688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31</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_Toc11347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第六十一条 举证、质证注意事项</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_Toc11347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32</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_Toc11865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第六十二条 提出修改及补充意见</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_Toc11865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32</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_Toc20177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第六十三条 庭审记录</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_Toc20177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32</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_Toc20671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第六十四条 核对庭审记录</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_Toc20671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32</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_Toc23591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第六十五条 提交代理词、补充证据</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_Toc23591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33</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_Toc5323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第六十六条 送达</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_Toc5323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33</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_Toc28406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第六十七条 上诉</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_Toc28406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33</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_Toc22046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第六十八条 申请撤销裁决</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_Toc22046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33</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_Toc31195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第六十九条 上诉费</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_Toc31195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34</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_Toc5236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第七十条 上诉答辩状</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_Toc5236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34</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_Toc16109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第七十一条 二审证据</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_Toc16109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34</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_Toc28073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第七十二条 二审判决</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_Toc28073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34</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_Toc16427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第七十三条 二审判决后救济途径</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_Toc16427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35</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_Toc12530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第七十四条  再审注意事项</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_Toc12530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35</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_Toc22630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第七十五条 审查调解书</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_Toc22630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35</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_Toc7326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第七十六条 再审申请注意事项</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_Toc7326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36</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_Toc26730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第七十七条 申请强制执行</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_Toc26730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36</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_Toc8990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第七十八条 审查申请执行条件</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_Toc8990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36</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_Toc8812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第七十九条 审查被执行人</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_Toc8812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36</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_Toc14638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第八十条 审查执行异议案外人</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_Toc14638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37</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_Toc3606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第八十一条 审查第三人</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_Toc3606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37</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_Toc32330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第八十二条 提交执行材料</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_Toc32330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37</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_Toc29080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第八十三条 追加被执行主体</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_Toc29080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37</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_Toc23005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第八十四条 破产申请</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_Toc23005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38</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_Toc28847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第八十五条 执行和解协议</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_Toc28847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38</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_Toc15047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第八十六条 执行中止审查</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_Toc15047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38</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_Toc30853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第八十七条 申请延期执行</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_Toc30853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38</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_Toc21547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第八十八条 执行回转申请</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_Toc21547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38</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_Toc1993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第八十九条 终结执行审查</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_Toc1993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38</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附则</w:t>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_Toc1993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_Toc1993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39</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_Toc18859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第九十条 提示</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_Toc18859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39</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_Toc7299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第九十一条 法规变化</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_Toc7299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39</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pStyle w:val="18"/>
            <w:keepNext w:val="0"/>
            <w:keepLines w:val="0"/>
            <w:pageBreakBefore w:val="0"/>
            <w:widowControl/>
            <w:tabs>
              <w:tab w:val="right" w:leader="dot" w:pos="9072"/>
            </w:tabs>
            <w:kinsoku/>
            <w:wordWrap/>
            <w:overflowPunct/>
            <w:topLinePunct w:val="0"/>
            <w:autoSpaceDE/>
            <w:autoSpaceDN/>
            <w:bidi w:val="0"/>
            <w:adjustRightInd/>
            <w:snapToGrid/>
            <w:spacing w:line="560" w:lineRule="exact"/>
            <w:ind w:firstLine="640" w:firstLineChars="200"/>
            <w:textAlignment w:val="auto"/>
          </w:pP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\l _Toc3700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第九十二条 生效</w:t>
          </w:r>
          <w:r>
            <w:rPr>
              <w:rFonts w:hint="eastAsia" w:ascii="仿宋_GB2312" w:hAnsi="仿宋_GB2312" w:eastAsia="仿宋_GB2312" w:cs="仿宋_GB2312"/>
              <w:color w:val="auto"/>
              <w:kern w:val="2"/>
              <w:sz w:val="32"/>
              <w:szCs w:val="32"/>
              <w:u w:val="none"/>
              <w:lang w:val="en-US" w:eastAsia="zh-CN" w:bidi="ar-SA"/>
            </w:rPr>
            <w:tab/>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PAGEREF _Toc3700 \h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39</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fldChar w:fldCharType="end"/>
          </w:r>
        </w:p>
        <w:p>
          <w:pPr>
            <w:keepNext w:val="0"/>
            <w:keepLines w:val="0"/>
            <w:kinsoku/>
            <w:wordWrap/>
            <w:overflowPunct/>
            <w:topLinePunct w:val="0"/>
            <w:autoSpaceDE/>
            <w:autoSpaceDN/>
            <w:bidi w:val="0"/>
            <w:adjustRightInd/>
            <w:snapToGrid/>
            <w:spacing w:line="560" w:lineRule="exact"/>
            <w:textAlignment w:val="auto"/>
            <w:rPr>
              <w:rFonts w:hint="eastAsia" w:ascii="仿宋" w:hAnsi="仿宋" w:eastAsia="仿宋" w:cs="仿宋"/>
              <w:bCs/>
              <w:kern w:val="2"/>
              <w:sz w:val="21"/>
              <w:szCs w:val="32"/>
              <w:lang w:val="en-US" w:eastAsia="zh-CN" w:bidi="ar-SA"/>
            </w:rPr>
            <w:sectPr>
              <w:footerReference r:id="rId3" w:type="default"/>
              <w:pgSz w:w="11906" w:h="16838"/>
              <w:pgMar w:top="1417" w:right="1417" w:bottom="1417" w:left="1417" w:header="851" w:footer="992" w:gutter="0"/>
              <w:pgNumType w:fmt="decimal"/>
              <w:cols w:space="425" w:num="1"/>
              <w:docGrid w:type="lines" w:linePitch="312" w:charSpace="0"/>
            </w:sectPr>
          </w:pPr>
          <w:r>
            <w:rPr>
              <w:rFonts w:hint="eastAsia" w:ascii="仿宋" w:hAnsi="仿宋" w:eastAsia="仿宋" w:cs="仿宋"/>
              <w:bCs/>
              <w:szCs w:val="32"/>
            </w:rPr>
            <w:fldChar w:fldCharType="end"/>
          </w:r>
        </w:p>
      </w:sdtContent>
    </w:sdt>
    <w:p>
      <w:pPr>
        <w:keepNext w:val="0"/>
        <w:keepLines w:val="0"/>
        <w:pageBreakBefore/>
        <w:widowControl w:val="0"/>
        <w:kinsoku/>
        <w:wordWrap/>
        <w:overflowPunct/>
        <w:topLinePunct w:val="0"/>
        <w:autoSpaceDE/>
        <w:autoSpaceDN/>
        <w:bidi w:val="0"/>
        <w:adjustRightInd/>
        <w:snapToGrid/>
        <w:spacing w:line="560" w:lineRule="exact"/>
        <w:jc w:val="center"/>
        <w:textAlignment w:val="auto"/>
        <w:outlineLvl w:val="0"/>
        <w:rPr>
          <w:rFonts w:hint="eastAsia" w:ascii="黑体" w:hAnsi="黑体" w:eastAsia="黑体" w:cs="黑体"/>
          <w:b/>
          <w:bCs/>
          <w:sz w:val="32"/>
          <w:szCs w:val="32"/>
        </w:rPr>
      </w:pPr>
      <w:bookmarkStart w:id="8" w:name="_Toc18796"/>
      <w:r>
        <w:rPr>
          <w:rFonts w:hint="eastAsia" w:ascii="黑体" w:hAnsi="黑体" w:eastAsia="黑体" w:cs="黑体"/>
          <w:b/>
          <w:bCs/>
          <w:sz w:val="32"/>
          <w:szCs w:val="32"/>
        </w:rPr>
        <w:t>第一章  总 则</w:t>
      </w:r>
      <w:bookmarkEnd w:id="8"/>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9" w:name="_Toc17599"/>
      <w:r>
        <w:rPr>
          <w:rFonts w:hint="eastAsia" w:ascii="仿宋_GB2312" w:hAnsi="仿宋_GB2312" w:eastAsia="仿宋_GB2312" w:cs="仿宋_GB2312"/>
          <w:b/>
          <w:bCs/>
          <w:color w:val="auto"/>
          <w:kern w:val="2"/>
          <w:sz w:val="32"/>
          <w:szCs w:val="32"/>
          <w:u w:val="none"/>
          <w:lang w:val="en-US" w:eastAsia="zh-CN" w:bidi="ar-SA"/>
        </w:rPr>
        <w:t>第一条 目的</w:t>
      </w:r>
      <w:bookmarkEnd w:id="9"/>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本指引是深圳市律师协会电子商务专业委员会委员根据现行相关法律法规政策和近期出现的跨境电子商务国际货物交易量猛增及近年来受疫情影响物流运费骤起骤落的情况，伴随的相应纠纷也日渐增多，深圳跨境电商企业众多，本委会员利用自身专业优势，综合自身执业经验，制作本操作指引，旨在帮助会员了解该部分业务特点及办案风险，同时更有助于为跨境电商企业避免、挽回损失，维护合法权益。</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0" w:name="_Toc32082"/>
      <w:r>
        <w:rPr>
          <w:rFonts w:hint="eastAsia" w:ascii="仿宋_GB2312" w:hAnsi="仿宋_GB2312" w:eastAsia="仿宋_GB2312" w:cs="仿宋_GB2312"/>
          <w:b/>
          <w:bCs/>
          <w:color w:val="auto"/>
          <w:kern w:val="2"/>
          <w:sz w:val="32"/>
          <w:szCs w:val="32"/>
          <w:u w:val="none"/>
          <w:lang w:val="en-US" w:eastAsia="zh-CN" w:bidi="ar-SA"/>
        </w:rPr>
        <w:t>第二条 定义</w:t>
      </w:r>
      <w:bookmarkEnd w:id="10"/>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本指引仅为律师办理相关业务的参考,非具体业务的行业强制性标准,不作为当事人或其他第三方机构评价律师服务及执业行为规范性、尽责程度等情况的依据或参考。</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1" w:name="_Toc16361"/>
      <w:r>
        <w:rPr>
          <w:rFonts w:hint="eastAsia" w:ascii="仿宋_GB2312" w:hAnsi="仿宋_GB2312" w:eastAsia="仿宋_GB2312" w:cs="仿宋_GB2312"/>
          <w:b/>
          <w:bCs/>
          <w:color w:val="auto"/>
          <w:kern w:val="2"/>
          <w:sz w:val="32"/>
          <w:szCs w:val="32"/>
          <w:u w:val="none"/>
          <w:lang w:val="en-US" w:eastAsia="zh-CN" w:bidi="ar-SA"/>
        </w:rPr>
        <w:t>第三条 可提供的服务</w:t>
      </w:r>
      <w:bookmarkEnd w:id="11"/>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律师根据介入的时间截点、案件的类型，为委托人提供咨询法律服务,风险控制专项法律服务，或以代理人身份提起起诉或应诉。</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2" w:name="_Toc12128"/>
      <w:r>
        <w:rPr>
          <w:rFonts w:hint="eastAsia" w:ascii="仿宋_GB2312" w:hAnsi="仿宋_GB2312" w:eastAsia="仿宋_GB2312" w:cs="仿宋_GB2312"/>
          <w:b/>
          <w:bCs/>
          <w:color w:val="auto"/>
          <w:kern w:val="2"/>
          <w:sz w:val="32"/>
          <w:szCs w:val="32"/>
          <w:u w:val="none"/>
          <w:lang w:val="en-US" w:eastAsia="zh-CN" w:bidi="ar-SA"/>
        </w:rPr>
        <w:t>第四条 办案准则</w:t>
      </w:r>
      <w:bookmarkEnd w:id="12"/>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承办国际货物运输纠纷案件，必须遵守宪法和法律，恪守律师职业道德和执业纪律。必须坚持以事实为根据、以法律为准绳的原则，勤勉尽责，恪守律师职业道德和执业纪律，维护法律的正确实施，同时接受当事人的监督。</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3" w:name="_Toc1719"/>
      <w:r>
        <w:rPr>
          <w:rFonts w:hint="eastAsia" w:ascii="仿宋_GB2312" w:hAnsi="仿宋_GB2312" w:eastAsia="仿宋_GB2312" w:cs="仿宋_GB2312"/>
          <w:b/>
          <w:bCs/>
          <w:color w:val="auto"/>
          <w:kern w:val="2"/>
          <w:sz w:val="32"/>
          <w:szCs w:val="32"/>
          <w:u w:val="none"/>
          <w:lang w:val="en-US" w:eastAsia="zh-CN" w:bidi="ar-SA"/>
        </w:rPr>
        <w:t>第五条 律师职责</w:t>
      </w:r>
      <w:bookmarkEnd w:id="13"/>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律师承办国际货物运输纠纷案件，应当依据当事人的委托，在委托权限内依法履行代理职责，诚实守信、审慎及时、积极维护委托人的合法权益。</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4" w:name="_Toc27952"/>
      <w:r>
        <w:rPr>
          <w:rFonts w:hint="eastAsia" w:ascii="仿宋_GB2312" w:hAnsi="仿宋_GB2312" w:eastAsia="仿宋_GB2312" w:cs="仿宋_GB2312"/>
          <w:b/>
          <w:bCs/>
          <w:color w:val="auto"/>
          <w:kern w:val="2"/>
          <w:sz w:val="32"/>
          <w:szCs w:val="32"/>
          <w:u w:val="none"/>
          <w:lang w:val="en-US" w:eastAsia="zh-CN" w:bidi="ar-SA"/>
        </w:rPr>
        <w:t>第六条 保守秘密</w:t>
      </w:r>
      <w:bookmarkEnd w:id="14"/>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律师承办国际货物运输纠纷案件，应当保守国家秘密和委托人的商业秘密、个人隐私。</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color w:val="auto"/>
          <w:kern w:val="2"/>
          <w:sz w:val="32"/>
          <w:szCs w:val="32"/>
          <w:u w:val="none"/>
          <w:lang w:val="en-US" w:eastAsia="zh-CN" w:bidi="ar-SA"/>
        </w:rPr>
      </w:pPr>
      <w:bookmarkStart w:id="15" w:name="_Toc6974"/>
      <w:r>
        <w:rPr>
          <w:rFonts w:hint="eastAsia" w:ascii="仿宋_GB2312" w:hAnsi="仿宋_GB2312" w:eastAsia="仿宋_GB2312" w:cs="仿宋_GB2312"/>
          <w:b/>
          <w:bCs/>
          <w:color w:val="auto"/>
          <w:kern w:val="2"/>
          <w:sz w:val="32"/>
          <w:szCs w:val="32"/>
          <w:u w:val="none"/>
          <w:lang w:val="en-US" w:eastAsia="zh-CN" w:bidi="ar-SA"/>
        </w:rPr>
        <w:t>第七条 公平竞争</w:t>
      </w:r>
      <w:bookmarkEnd w:id="15"/>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律师承办国际货物运输纠纷案件，应当尊重同行，公平竞争，不得在公开场合、传媒或者法庭上谩骂或者发表贬低、诋毁、损害同行声誉的言论。</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default" w:ascii="仿宋_GB2312" w:hAnsi="仿宋_GB2312" w:eastAsia="仿宋_GB2312" w:cs="仿宋_GB2312"/>
          <w:b/>
          <w:bCs/>
          <w:color w:val="auto"/>
          <w:kern w:val="2"/>
          <w:sz w:val="32"/>
          <w:szCs w:val="32"/>
          <w:u w:val="none"/>
          <w:lang w:val="en-US" w:eastAsia="zh-CN" w:bidi="ar-SA"/>
        </w:rPr>
      </w:pPr>
      <w:bookmarkStart w:id="16" w:name="_Toc14297"/>
      <w:r>
        <w:rPr>
          <w:rFonts w:hint="eastAsia" w:ascii="仿宋_GB2312" w:hAnsi="仿宋_GB2312" w:eastAsia="仿宋_GB2312" w:cs="仿宋_GB2312"/>
          <w:b/>
          <w:bCs/>
          <w:color w:val="auto"/>
          <w:kern w:val="2"/>
          <w:sz w:val="32"/>
          <w:szCs w:val="32"/>
          <w:u w:val="none"/>
          <w:lang w:val="en-US" w:eastAsia="zh-CN" w:bidi="ar-SA"/>
        </w:rPr>
        <w:t>第八条 禁止事项</w:t>
      </w:r>
      <w:bookmarkEnd w:id="16"/>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律师承办国际货物运输纠纷案件，不得以支付介绍费等不正当手段承揽业务。</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default" w:ascii="仿宋_GB2312" w:hAnsi="仿宋_GB2312" w:eastAsia="仿宋_GB2312" w:cs="仿宋_GB2312"/>
          <w:b/>
          <w:bCs/>
          <w:color w:val="auto"/>
          <w:kern w:val="2"/>
          <w:sz w:val="32"/>
          <w:szCs w:val="32"/>
          <w:u w:val="none"/>
          <w:lang w:val="en-US" w:eastAsia="zh-CN" w:bidi="ar-SA"/>
        </w:rPr>
      </w:pPr>
      <w:bookmarkStart w:id="17" w:name="_Toc19496"/>
      <w:r>
        <w:rPr>
          <w:rFonts w:hint="eastAsia" w:ascii="仿宋_GB2312" w:hAnsi="仿宋_GB2312" w:eastAsia="仿宋_GB2312" w:cs="仿宋_GB2312"/>
          <w:b/>
          <w:bCs/>
          <w:color w:val="auto"/>
          <w:kern w:val="2"/>
          <w:sz w:val="32"/>
          <w:szCs w:val="32"/>
          <w:u w:val="none"/>
          <w:lang w:val="en-US" w:eastAsia="zh-CN" w:bidi="ar-SA"/>
        </w:rPr>
        <w:t>第九条 不得承诺或保证</w:t>
      </w:r>
      <w:bookmarkEnd w:id="17"/>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律师应当向委托人说明其法律意见仅供委托人参考用，律师不应就案件处理的前景或者结果作出任何承诺或者保证。</w:t>
      </w:r>
    </w:p>
    <w:p>
      <w:pPr>
        <w:keepNext w:val="0"/>
        <w:keepLines w:val="0"/>
        <w:kinsoku/>
        <w:wordWrap/>
        <w:overflowPunct/>
        <w:topLinePunct w:val="0"/>
        <w:autoSpaceDE/>
        <w:autoSpaceDN/>
        <w:bidi w:val="0"/>
        <w:adjustRightInd/>
        <w:snapToGrid/>
        <w:spacing w:line="560" w:lineRule="exact"/>
        <w:ind w:firstLine="640" w:firstLineChars="200"/>
        <w:jc w:val="center"/>
        <w:textAlignment w:val="auto"/>
        <w:outlineLvl w:val="0"/>
        <w:rPr>
          <w:rFonts w:hint="eastAsia" w:ascii="黑体" w:hAnsi="黑体" w:eastAsia="黑体" w:cs="黑体"/>
          <w:color w:val="auto"/>
          <w:kern w:val="2"/>
          <w:sz w:val="32"/>
          <w:szCs w:val="32"/>
          <w:u w:val="none"/>
          <w:lang w:val="en-US" w:eastAsia="zh-CN" w:bidi="ar-SA"/>
        </w:rPr>
      </w:pPr>
      <w:bookmarkStart w:id="18" w:name="_Toc30086"/>
    </w:p>
    <w:p>
      <w:pPr>
        <w:keepNext w:val="0"/>
        <w:keepLines w:val="0"/>
        <w:kinsoku/>
        <w:wordWrap/>
        <w:overflowPunct/>
        <w:topLinePunct w:val="0"/>
        <w:autoSpaceDE/>
        <w:autoSpaceDN/>
        <w:bidi w:val="0"/>
        <w:adjustRightInd/>
        <w:snapToGrid/>
        <w:spacing w:line="560" w:lineRule="exact"/>
        <w:ind w:firstLine="640" w:firstLineChars="200"/>
        <w:jc w:val="center"/>
        <w:textAlignment w:val="auto"/>
        <w:outlineLvl w:val="0"/>
        <w:rPr>
          <w:rFonts w:hint="eastAsia" w:ascii="黑体" w:hAnsi="黑体" w:eastAsia="黑体" w:cs="黑体"/>
          <w:color w:val="auto"/>
          <w:kern w:val="2"/>
          <w:sz w:val="32"/>
          <w:szCs w:val="32"/>
          <w:u w:val="none"/>
          <w:lang w:val="en-US" w:eastAsia="zh-CN" w:bidi="ar-SA"/>
        </w:rPr>
      </w:pPr>
      <w:r>
        <w:rPr>
          <w:rFonts w:hint="eastAsia" w:ascii="黑体" w:hAnsi="黑体" w:eastAsia="黑体" w:cs="黑体"/>
          <w:color w:val="auto"/>
          <w:kern w:val="2"/>
          <w:sz w:val="32"/>
          <w:szCs w:val="32"/>
          <w:u w:val="none"/>
          <w:lang w:val="en-US" w:eastAsia="zh-CN" w:bidi="ar-SA"/>
        </w:rPr>
        <w:t>第二章  业务洽谈和接受委托</w:t>
      </w:r>
      <w:bookmarkEnd w:id="18"/>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9" w:name="_Toc6265"/>
      <w:r>
        <w:rPr>
          <w:rFonts w:hint="eastAsia" w:ascii="仿宋_GB2312" w:hAnsi="仿宋_GB2312" w:eastAsia="仿宋_GB2312" w:cs="仿宋_GB2312"/>
          <w:b/>
          <w:bCs/>
          <w:color w:val="auto"/>
          <w:kern w:val="2"/>
          <w:sz w:val="32"/>
          <w:szCs w:val="32"/>
          <w:u w:val="none"/>
          <w:lang w:val="en-US" w:eastAsia="zh-CN" w:bidi="ar-SA"/>
        </w:rPr>
        <w:t>第十条 接受委托注意事项</w:t>
      </w:r>
      <w:bookmarkEnd w:id="19"/>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律师事务所是律师的执业机构,律师承办业务, 由律师事务所统一接受委托,与委托人签订书面委托代理合同，明确委托代理事项。律师应在执业律师办公地点接待委托人，并应当使用律师事务所公账收取费用，向委托人出具发票。</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20" w:name="_Toc7337"/>
      <w:r>
        <w:rPr>
          <w:rFonts w:hint="eastAsia" w:ascii="仿宋_GB2312" w:hAnsi="仿宋_GB2312" w:eastAsia="仿宋_GB2312" w:cs="仿宋_GB2312"/>
          <w:b/>
          <w:bCs/>
          <w:color w:val="auto"/>
          <w:kern w:val="2"/>
          <w:sz w:val="32"/>
          <w:szCs w:val="32"/>
          <w:u w:val="none"/>
          <w:lang w:val="en-US" w:eastAsia="zh-CN" w:bidi="ar-SA"/>
        </w:rPr>
        <w:t>第十一条 业务洽谈注意事项</w:t>
      </w:r>
      <w:bookmarkEnd w:id="20"/>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在进行业务洽谈时，律师应认真、热情地接待当事人，了解情况，核实委托人是否有委托人资格，发现委托人不具备相应的诉讼主体资格时，应向其说明情况进行变更。</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21" w:name="_Toc10860"/>
      <w:r>
        <w:rPr>
          <w:rFonts w:hint="eastAsia" w:ascii="仿宋_GB2312" w:hAnsi="仿宋_GB2312" w:eastAsia="仿宋_GB2312" w:cs="仿宋_GB2312"/>
          <w:b/>
          <w:bCs/>
          <w:color w:val="auto"/>
          <w:kern w:val="2"/>
          <w:sz w:val="32"/>
          <w:szCs w:val="32"/>
          <w:u w:val="none"/>
          <w:lang w:val="en-US" w:eastAsia="zh-CN" w:bidi="ar-SA"/>
        </w:rPr>
        <w:t>第十二条 拒绝代理</w:t>
      </w:r>
      <w:bookmarkEnd w:id="21"/>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委托人可以拒绝已委托的律师为其继续代理，同时可以另行委托律师担任代理人。律师接受委托后，无正当理由的，不得拒绝代理。但是，委托事项违法、委托人利用律师提供的服务从事违法活动或者委托人故意隐瞒与案件有关的重要事实的，律师有权拒绝代理。</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22" w:name="_Toc19931"/>
      <w:r>
        <w:rPr>
          <w:rFonts w:hint="eastAsia" w:ascii="仿宋_GB2312" w:hAnsi="仿宋_GB2312" w:eastAsia="仿宋_GB2312" w:cs="仿宋_GB2312"/>
          <w:b/>
          <w:bCs/>
          <w:color w:val="auto"/>
          <w:kern w:val="2"/>
          <w:sz w:val="32"/>
          <w:szCs w:val="32"/>
          <w:u w:val="none"/>
          <w:lang w:val="en-US" w:eastAsia="zh-CN" w:bidi="ar-SA"/>
        </w:rPr>
        <w:t>第十三条 不得接受委托情形</w:t>
      </w:r>
      <w:bookmarkEnd w:id="22"/>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有下列情形之一的，律师事务所不得接受委托：</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23" w:name="_Toc23571"/>
      <w:r>
        <w:rPr>
          <w:rFonts w:hint="eastAsia" w:ascii="仿宋_GB2312" w:hAnsi="仿宋_GB2312" w:eastAsia="仿宋_GB2312" w:cs="仿宋_GB2312"/>
          <w:color w:val="auto"/>
          <w:kern w:val="2"/>
          <w:sz w:val="32"/>
          <w:szCs w:val="32"/>
          <w:u w:val="none"/>
          <w:lang w:val="en-US" w:eastAsia="zh-CN" w:bidi="ar-SA"/>
        </w:rPr>
        <w:t>（一）已经接受同一案件中对方当事人或者第三人委托的；</w:t>
      </w:r>
      <w:bookmarkEnd w:id="23"/>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（二）已经在一审程序担任一方当事人的代理人，二审程序或者再审程序对方当事人委托的；</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24" w:name="_Toc28354"/>
      <w:r>
        <w:rPr>
          <w:rFonts w:hint="eastAsia" w:ascii="仿宋_GB2312" w:hAnsi="仿宋_GB2312" w:eastAsia="仿宋_GB2312" w:cs="仿宋_GB2312"/>
          <w:color w:val="auto"/>
          <w:kern w:val="2"/>
          <w:sz w:val="32"/>
          <w:szCs w:val="32"/>
          <w:u w:val="none"/>
          <w:lang w:val="en-US" w:eastAsia="zh-CN" w:bidi="ar-SA"/>
        </w:rPr>
        <w:t>（三）与本人或者其近亲属有利益冲突的；</w:t>
      </w:r>
      <w:bookmarkEnd w:id="24"/>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（四）具有违反《律师执业避免利益冲突规则》的规定，不能接受委托的其他情形。</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25" w:name="_Toc27226"/>
      <w:r>
        <w:rPr>
          <w:rFonts w:hint="eastAsia" w:ascii="仿宋_GB2312" w:hAnsi="仿宋_GB2312" w:eastAsia="仿宋_GB2312" w:cs="仿宋_GB2312"/>
          <w:b/>
          <w:bCs/>
          <w:color w:val="auto"/>
          <w:kern w:val="2"/>
          <w:sz w:val="32"/>
          <w:szCs w:val="32"/>
          <w:u w:val="none"/>
          <w:lang w:val="en-US" w:eastAsia="zh-CN" w:bidi="ar-SA"/>
        </w:rPr>
        <w:t>第十四条 接受委托注意事项</w:t>
      </w:r>
      <w:bookmarkEnd w:id="25"/>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在委托人确定要委托律师作为代理人且无利益冲突存在的情况下：</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（一）仔细听取委托人关于案情的陈述，审查委托人提供的证据材料，确定案件管辖归属，并详细了解案情过程和事实；</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（二）与委托人建立委托关系，签订书面的《委托代理合同》，明确代理事项及授权范围，明确双方的权利义务、违约责任等，委托代理合同一式两份，一份交委托人，一份交承办律师附卷存档；</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三）委托人签署《授权委托书》和《风险告知书》。《授权委托书》应明确具体的委托事项及律师代理权限，代理权限应注明是一般授权还是特别授权，特别授权的范围应尽可能详细和明确，变更、放弃、承认诉讼请求和进行和解，提起反诉、上诉和再审，转委托，签收法律文书，领取标的物、接收款项和费用等，应当有委托人的特别授权；</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（四）跨境公司签署的授权委托书、公司身份证明文件需经所在国公证认证手续；香港、澳门、台湾地区当事人委托的，律师应审查授权委托书是否已履行了相关的证明手续。</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26" w:name="_Toc31144"/>
      <w:r>
        <w:rPr>
          <w:rFonts w:hint="eastAsia" w:ascii="仿宋_GB2312" w:hAnsi="仿宋_GB2312" w:eastAsia="仿宋_GB2312" w:cs="仿宋_GB2312"/>
          <w:b/>
          <w:bCs/>
          <w:color w:val="auto"/>
          <w:kern w:val="2"/>
          <w:sz w:val="32"/>
          <w:szCs w:val="32"/>
          <w:u w:val="none"/>
          <w:lang w:val="en-US" w:eastAsia="zh-CN" w:bidi="ar-SA"/>
        </w:rPr>
        <w:t>第十五条 代理注意事项</w:t>
      </w:r>
      <w:bookmarkEnd w:id="26"/>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 xml:space="preserve">律师接受委托后，在代理委托人的委托事项时，不得有下列行为: </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 xml:space="preserve">（一）私自接受委托、收取费用，接受委托人的财物或者其他利益； </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27" w:name="_Toc31656"/>
      <w:r>
        <w:rPr>
          <w:rFonts w:hint="eastAsia" w:ascii="仿宋_GB2312" w:hAnsi="仿宋_GB2312" w:eastAsia="仿宋_GB2312" w:cs="仿宋_GB2312"/>
          <w:color w:val="auto"/>
          <w:kern w:val="2"/>
          <w:sz w:val="32"/>
          <w:szCs w:val="32"/>
          <w:u w:val="none"/>
          <w:lang w:val="en-US" w:eastAsia="zh-CN" w:bidi="ar-SA"/>
        </w:rPr>
        <w:t>（二）利用提供法律服务的便利牟取当事人争议的权益；</w:t>
      </w:r>
      <w:bookmarkEnd w:id="27"/>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（三）接受对方当事人的财物或者其他利益，与对方当事人或者第三人恶意串通，侵害委托人的权益；</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28" w:name="_Toc11605"/>
      <w:r>
        <w:rPr>
          <w:rFonts w:hint="eastAsia" w:ascii="仿宋_GB2312" w:hAnsi="仿宋_GB2312" w:eastAsia="仿宋_GB2312" w:cs="仿宋_GB2312"/>
          <w:color w:val="auto"/>
          <w:kern w:val="2"/>
          <w:sz w:val="32"/>
          <w:szCs w:val="32"/>
          <w:u w:val="none"/>
          <w:lang w:val="en-US" w:eastAsia="zh-CN" w:bidi="ar-SA"/>
        </w:rPr>
        <w:t>（四）违反规定会见法官、检察官、仲裁员以及其他有关工作人员；</w:t>
      </w:r>
      <w:bookmarkEnd w:id="28"/>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（五）向法官、检察官、仲裁员以及其他有关工作人员行贿，介绍贿赂或者指使、诱导当事人行贿，或者以其他不正当方式影响法官、检察官、仲裁员以及其他有关工作人员依法办理案件；</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（六）故意提供虚假证据或者威胁、利诱他人提供虚假证据，妨碍对方当事人合法取得证据；</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 xml:space="preserve">（七）煽动、教唆当事人采取扰乱公共秩序、危害公共安全等非法手段解决争议； </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29" w:name="_Toc28095"/>
      <w:r>
        <w:rPr>
          <w:rFonts w:hint="eastAsia" w:ascii="仿宋_GB2312" w:hAnsi="仿宋_GB2312" w:eastAsia="仿宋_GB2312" w:cs="仿宋_GB2312"/>
          <w:color w:val="auto"/>
          <w:kern w:val="2"/>
          <w:sz w:val="32"/>
          <w:szCs w:val="32"/>
          <w:u w:val="none"/>
          <w:lang w:val="en-US" w:eastAsia="zh-CN" w:bidi="ar-SA"/>
        </w:rPr>
        <w:t>（八）扰乱法庭、仲裁庭秩序，干扰诉讼、仲裁活动的正常进行。</w:t>
      </w:r>
      <w:bookmarkEnd w:id="29"/>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30" w:name="_Toc29133"/>
      <w:r>
        <w:rPr>
          <w:rFonts w:hint="eastAsia" w:ascii="仿宋_GB2312" w:hAnsi="仿宋_GB2312" w:eastAsia="仿宋_GB2312" w:cs="仿宋_GB2312"/>
          <w:b/>
          <w:bCs/>
          <w:color w:val="auto"/>
          <w:kern w:val="2"/>
          <w:sz w:val="32"/>
          <w:szCs w:val="32"/>
          <w:u w:val="none"/>
          <w:lang w:val="en-US" w:eastAsia="zh-CN" w:bidi="ar-SA"/>
        </w:rPr>
        <w:t>第十六条 收案登记</w:t>
      </w:r>
      <w:bookmarkEnd w:id="30"/>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收案后办理收案登记，建立案件编号。</w:t>
      </w:r>
    </w:p>
    <w:p>
      <w:pPr>
        <w:keepNext w:val="0"/>
        <w:keepLines w:val="0"/>
        <w:kinsoku/>
        <w:wordWrap/>
        <w:overflowPunct/>
        <w:topLinePunct w:val="0"/>
        <w:autoSpaceDE/>
        <w:autoSpaceDN/>
        <w:bidi w:val="0"/>
        <w:adjustRightInd/>
        <w:snapToGrid/>
        <w:spacing w:line="560" w:lineRule="exact"/>
        <w:ind w:firstLine="640" w:firstLineChars="200"/>
        <w:jc w:val="center"/>
        <w:textAlignment w:val="auto"/>
        <w:outlineLvl w:val="0"/>
        <w:rPr>
          <w:rFonts w:hint="eastAsia" w:ascii="黑体" w:hAnsi="黑体" w:eastAsia="黑体" w:cs="黑体"/>
          <w:color w:val="auto"/>
          <w:kern w:val="2"/>
          <w:sz w:val="32"/>
          <w:szCs w:val="32"/>
          <w:u w:val="none"/>
          <w:lang w:val="en-US" w:eastAsia="zh-CN" w:bidi="ar-SA"/>
        </w:rPr>
      </w:pPr>
      <w:bookmarkStart w:id="31" w:name="_Toc23003"/>
    </w:p>
    <w:p>
      <w:pPr>
        <w:keepNext w:val="0"/>
        <w:keepLines w:val="0"/>
        <w:kinsoku/>
        <w:wordWrap/>
        <w:overflowPunct/>
        <w:topLinePunct w:val="0"/>
        <w:autoSpaceDE/>
        <w:autoSpaceDN/>
        <w:bidi w:val="0"/>
        <w:adjustRightInd/>
        <w:snapToGrid/>
        <w:spacing w:line="560" w:lineRule="exact"/>
        <w:ind w:firstLine="640" w:firstLineChars="200"/>
        <w:jc w:val="center"/>
        <w:textAlignment w:val="auto"/>
        <w:outlineLvl w:val="0"/>
        <w:rPr>
          <w:rFonts w:hint="eastAsia" w:ascii="黑体" w:hAnsi="黑体" w:eastAsia="黑体" w:cs="黑体"/>
          <w:color w:val="auto"/>
          <w:kern w:val="2"/>
          <w:sz w:val="32"/>
          <w:szCs w:val="32"/>
          <w:u w:val="none"/>
          <w:lang w:val="en-US" w:eastAsia="zh-CN" w:bidi="ar-SA"/>
        </w:rPr>
      </w:pPr>
      <w:r>
        <w:rPr>
          <w:rFonts w:hint="eastAsia" w:ascii="黑体" w:hAnsi="黑体" w:eastAsia="黑体" w:cs="黑体"/>
          <w:color w:val="auto"/>
          <w:kern w:val="2"/>
          <w:sz w:val="32"/>
          <w:szCs w:val="32"/>
          <w:u w:val="none"/>
          <w:lang w:val="en-US" w:eastAsia="zh-CN" w:bidi="ar-SA"/>
        </w:rPr>
        <w:t>第三章 非诉专项法律服务</w:t>
      </w:r>
      <w:bookmarkEnd w:id="31"/>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32" w:name="_Toc10282"/>
      <w:r>
        <w:rPr>
          <w:rFonts w:hint="eastAsia" w:ascii="仿宋_GB2312" w:hAnsi="仿宋_GB2312" w:eastAsia="仿宋_GB2312" w:cs="仿宋_GB2312"/>
          <w:b/>
          <w:bCs/>
          <w:color w:val="auto"/>
          <w:kern w:val="2"/>
          <w:sz w:val="32"/>
          <w:szCs w:val="32"/>
          <w:u w:val="none"/>
          <w:lang w:val="en-US" w:eastAsia="zh-CN" w:bidi="ar-SA"/>
        </w:rPr>
        <w:t>第十七条 目的</w:t>
      </w:r>
      <w:bookmarkEnd w:id="32"/>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跨境电商企业的长足发展很大程度上依赖跨境物流公司，所谓“得物流者的天下”，而目前跨境物流行业普遍不够规范，服务质量、水平参差不齐，跨境电商企业与跨境物流企业的法律纠纷持续增加。为有效减少跨境电商企业和物流合作伙伴的纠纷和摩擦，以及为出现纠纷后能获取对跨境电商企业有利的证据，律师还可以为跨境电商企业提供物流法律风险控制的专项法律服务。</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律师通过该专项法律服务，帮助跨境电商企业控制其物流层面的风险，既可以有效减少其和物流合作伙伴的纠纷和摩擦，也可以大幅提升其运营效率，促进跨境电商企业快速健康发展和品牌出海。</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33" w:name="_Toc517"/>
      <w:r>
        <w:rPr>
          <w:rFonts w:hint="eastAsia" w:ascii="仿宋_GB2312" w:hAnsi="仿宋_GB2312" w:eastAsia="仿宋_GB2312" w:cs="仿宋_GB2312"/>
          <w:b/>
          <w:bCs/>
          <w:color w:val="auto"/>
          <w:kern w:val="2"/>
          <w:sz w:val="32"/>
          <w:szCs w:val="32"/>
          <w:u w:val="none"/>
          <w:lang w:val="en-US" w:eastAsia="zh-CN" w:bidi="ar-SA"/>
        </w:rPr>
        <w:t>第十八条 尽职调查内容</w:t>
      </w:r>
      <w:bookmarkEnd w:id="33"/>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针对跨境电商企业的物流合作伙伴及双方的交易流程开展尽职调查。调查内容主要包括：</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通过互联网新闻、媒体宣传推介材料、监管机构和行业协会披露、第三方专业机构行业分析报告及其他公开渠道了解标的企业背景、最新动态等。核查合作伙伴注册资本、股东实缴资本出资是否到位、所涉非货币出资的资产作价、估值、审批程序、权利转移等是否完成等。</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（二）通过现场核查的方式，核查合作伙伴的实际办公场所、公司规模、公司员工、部门设置、展业方式等。</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34" w:name="_Toc32668"/>
      <w:r>
        <w:rPr>
          <w:rFonts w:hint="eastAsia" w:ascii="仿宋_GB2312" w:hAnsi="仿宋_GB2312" w:eastAsia="仿宋_GB2312" w:cs="仿宋_GB2312"/>
          <w:color w:val="auto"/>
          <w:kern w:val="2"/>
          <w:sz w:val="32"/>
          <w:szCs w:val="32"/>
          <w:u w:val="none"/>
          <w:lang w:val="en-US" w:eastAsia="zh-CN" w:bidi="ar-SA"/>
        </w:rPr>
        <w:t>（三）通过审查文件、走访基层员工等方式，核查交易细节。</w:t>
      </w:r>
      <w:bookmarkEnd w:id="34"/>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（四）通过审查过往合作协议的方式，找出合作协议的漏洞以及对跨境电商企业不利的条款。</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（五）通过询问以及外部渠道核查等方式，核查合作伙伴以往争议情况，如有无重大债务，债务金额、类型、形成时间，有无违约或涉诉风险，以往争议有无同类交易，是否可借鉴交易风险等。</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（六）经过对跨境电商企业的物流合作伙伴及双方的交易流程进行详细调研，起草尽调报告，提示法律风险，并提出法律意见。</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35" w:name="_Toc23952"/>
      <w:r>
        <w:rPr>
          <w:rFonts w:hint="eastAsia" w:ascii="仿宋_GB2312" w:hAnsi="仿宋_GB2312" w:eastAsia="仿宋_GB2312" w:cs="仿宋_GB2312"/>
          <w:b/>
          <w:bCs/>
          <w:color w:val="auto"/>
          <w:kern w:val="2"/>
          <w:sz w:val="32"/>
          <w:szCs w:val="32"/>
          <w:u w:val="none"/>
          <w:lang w:val="en-US" w:eastAsia="zh-CN" w:bidi="ar-SA"/>
        </w:rPr>
        <w:t>第十九条 起草、审查文书</w:t>
      </w:r>
      <w:bookmarkEnd w:id="35"/>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在尽调报告的基础上，为跨境电商企业起草或审查与各个物流合作伙伴的合作协议及相关文本，包括但不限于框架协议、专项协议、补充协议等。跨境电商企业应该与每一个物流合作伙伴都要签订框架协议，这不仅是明确双方权利义务、减少纠纷，也是为了方便诉讼，否则法院可能认为每笔订单都是一个合同，分开起诉，那样的话，诉讼成本将会非常高。在框架协议中，应约定关键条款，如时效、货物丢失、付款账期、保险、关税等，并控制风险与转嫁风险，如约定排除留置权，要求提供报关底单等。</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36" w:name="_Toc10573"/>
      <w:r>
        <w:rPr>
          <w:rFonts w:hint="eastAsia" w:ascii="仿宋_GB2312" w:hAnsi="仿宋_GB2312" w:eastAsia="仿宋_GB2312" w:cs="仿宋_GB2312"/>
          <w:b/>
          <w:bCs/>
          <w:color w:val="auto"/>
          <w:kern w:val="2"/>
          <w:sz w:val="32"/>
          <w:szCs w:val="32"/>
          <w:u w:val="none"/>
          <w:lang w:val="en-US" w:eastAsia="zh-CN" w:bidi="ar-SA"/>
        </w:rPr>
        <w:t>第二十条 法律意见书</w:t>
      </w:r>
      <w:bookmarkEnd w:id="36"/>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在尽调报告与合作协议的基础上，出具法律意见书。法律意见书主要是对企业内部涉及物流的规章制度及操作流程提出系统性连贯性的修改意见，并针对合作协议中由于谈判地位不能达成的条款规范相关的操作流程，以在操作中予以规避、防控。</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b/>
          <w:bCs/>
          <w:color w:val="auto"/>
          <w:kern w:val="2"/>
          <w:sz w:val="32"/>
          <w:szCs w:val="32"/>
          <w:u w:val="none"/>
          <w:lang w:val="en-US" w:eastAsia="zh-CN" w:bidi="ar-SA"/>
        </w:rPr>
        <w:t>第二十一条 对于涉及物流的操作部门进行人员培训。</w:t>
      </w:r>
      <w:r>
        <w:rPr>
          <w:rFonts w:hint="eastAsia" w:ascii="仿宋_GB2312" w:hAnsi="仿宋_GB2312" w:eastAsia="仿宋_GB2312" w:cs="仿宋_GB2312"/>
          <w:color w:val="auto"/>
          <w:kern w:val="2"/>
          <w:sz w:val="32"/>
          <w:szCs w:val="32"/>
          <w:u w:val="none"/>
          <w:lang w:val="en-US" w:eastAsia="zh-CN" w:bidi="ar-SA"/>
        </w:rPr>
        <w:t>帮助其理解和更好的执行相关的规章制度和操作流程，并提示注意相关风险，为可能会发生的纠纷保留相关证据等。</w:t>
      </w:r>
    </w:p>
    <w:p>
      <w:pPr>
        <w:keepNext w:val="0"/>
        <w:keepLines w:val="0"/>
        <w:kinsoku/>
        <w:wordWrap/>
        <w:overflowPunct/>
        <w:topLinePunct w:val="0"/>
        <w:autoSpaceDE/>
        <w:autoSpaceDN/>
        <w:bidi w:val="0"/>
        <w:adjustRightInd/>
        <w:snapToGrid/>
        <w:spacing w:line="560" w:lineRule="exact"/>
        <w:jc w:val="center"/>
        <w:textAlignment w:val="auto"/>
        <w:outlineLvl w:val="0"/>
        <w:rPr>
          <w:rFonts w:hint="eastAsia" w:ascii="黑体" w:hAnsi="黑体" w:eastAsia="黑体" w:cs="黑体"/>
          <w:b w:val="0"/>
          <w:bCs w:val="0"/>
          <w:sz w:val="32"/>
          <w:szCs w:val="32"/>
        </w:rPr>
      </w:pPr>
      <w:bookmarkStart w:id="37" w:name="_Toc7655"/>
    </w:p>
    <w:p>
      <w:pPr>
        <w:keepNext w:val="0"/>
        <w:keepLines w:val="0"/>
        <w:kinsoku/>
        <w:wordWrap/>
        <w:overflowPunct/>
        <w:topLinePunct w:val="0"/>
        <w:autoSpaceDE/>
        <w:autoSpaceDN/>
        <w:bidi w:val="0"/>
        <w:adjustRightInd/>
        <w:snapToGrid/>
        <w:spacing w:line="560" w:lineRule="exact"/>
        <w:jc w:val="center"/>
        <w:textAlignment w:val="auto"/>
        <w:outlineLvl w:val="0"/>
        <w:rPr>
          <w:rFonts w:hint="eastAsia" w:ascii="黑体" w:hAnsi="黑体" w:eastAsia="黑体" w:cs="黑体"/>
          <w:b w:val="0"/>
          <w:bCs w:val="0"/>
          <w:sz w:val="32"/>
          <w:szCs w:val="32"/>
        </w:rPr>
      </w:pPr>
      <w:r>
        <w:rPr>
          <w:rFonts w:hint="eastAsia" w:ascii="黑体" w:hAnsi="黑体" w:eastAsia="黑体" w:cs="黑体"/>
          <w:b w:val="0"/>
          <w:bCs w:val="0"/>
          <w:sz w:val="32"/>
          <w:szCs w:val="32"/>
        </w:rPr>
        <w:t>第</w:t>
      </w:r>
      <w:r>
        <w:rPr>
          <w:rFonts w:hint="eastAsia" w:ascii="黑体" w:hAnsi="黑体" w:eastAsia="黑体" w:cs="黑体"/>
          <w:b w:val="0"/>
          <w:bCs w:val="0"/>
          <w:sz w:val="32"/>
          <w:szCs w:val="32"/>
          <w:lang w:val="en-US" w:eastAsia="zh-CN"/>
        </w:rPr>
        <w:t>四</w:t>
      </w:r>
      <w:r>
        <w:rPr>
          <w:rFonts w:hint="eastAsia" w:ascii="黑体" w:hAnsi="黑体" w:eastAsia="黑体" w:cs="黑体"/>
          <w:b w:val="0"/>
          <w:bCs w:val="0"/>
          <w:sz w:val="32"/>
          <w:szCs w:val="32"/>
        </w:rPr>
        <w:t>章  案件代理</w:t>
      </w:r>
      <w:bookmarkEnd w:id="37"/>
    </w:p>
    <w:p>
      <w:pPr>
        <w:keepNext w:val="0"/>
        <w:keepLines w:val="0"/>
        <w:kinsoku/>
        <w:wordWrap/>
        <w:overflowPunct/>
        <w:topLinePunct w:val="0"/>
        <w:autoSpaceDE/>
        <w:autoSpaceDN/>
        <w:bidi w:val="0"/>
        <w:adjustRightInd/>
        <w:snapToGrid/>
        <w:spacing w:line="560" w:lineRule="exact"/>
        <w:jc w:val="center"/>
        <w:textAlignment w:val="auto"/>
        <w:outlineLvl w:val="1"/>
        <w:rPr>
          <w:rFonts w:hint="eastAsia" w:ascii="仿宋" w:hAnsi="仿宋" w:eastAsia="仿宋" w:cs="仿宋"/>
          <w:b w:val="0"/>
          <w:bCs w:val="0"/>
          <w:sz w:val="32"/>
          <w:szCs w:val="32"/>
          <w:lang w:val="en-US" w:eastAsia="zh-CN"/>
        </w:rPr>
      </w:pPr>
      <w:bookmarkStart w:id="38" w:name="_Toc8153"/>
      <w:r>
        <w:rPr>
          <w:rFonts w:hint="eastAsia" w:ascii="楷体" w:hAnsi="楷体" w:eastAsia="楷体" w:cs="楷体"/>
          <w:b w:val="0"/>
          <w:bCs w:val="0"/>
          <w:sz w:val="32"/>
          <w:szCs w:val="32"/>
          <w:lang w:val="en-US" w:eastAsia="zh-CN"/>
        </w:rPr>
        <w:t>第一节 诉前准备</w:t>
      </w:r>
      <w:bookmarkEnd w:id="38"/>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39" w:name="_Toc1331"/>
      <w:r>
        <w:rPr>
          <w:rFonts w:hint="eastAsia" w:ascii="仿宋_GB2312" w:hAnsi="仿宋_GB2312" w:eastAsia="仿宋_GB2312" w:cs="仿宋_GB2312"/>
          <w:b/>
          <w:bCs/>
          <w:color w:val="auto"/>
          <w:kern w:val="2"/>
          <w:sz w:val="32"/>
          <w:szCs w:val="32"/>
          <w:u w:val="none"/>
          <w:lang w:val="en-US" w:eastAsia="zh-CN" w:bidi="ar-SA"/>
        </w:rPr>
        <w:t>第二十二条 审阅证据材料</w:t>
      </w:r>
      <w:bookmarkEnd w:id="39"/>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接受委托后，律师应当仔细审阅委托人提供的案件证据材料，核对委托人提供资料的原件并收取复印件，并将原件及时交还委托人妥善保管，如需收取原件的，应当制作物证清单，由委托人、律师共同签字留存，并为委托人做如下简要分析：</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（一）有无签订合同，合同条款是否清晰明确，能否清晰明确各货物运输参与人的法律地位、权利和义务；</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（二）根据委托人提供的相关资料，与委托人核实案件的基本事实和争议事项；</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（三）分析委托人预期的请求事项是否符合法律规定，向其告知与案件有关的法律法规、司法解释和相关案例；</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（四）确定案件的管辖权归属地；</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（五）确定案件的法律关系（案由、请求权基础、法律适用）；</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（六）确定是否在案件的诉讼时效范围内；</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（七）分析有无可能存在的共同诉讼/仲裁参与人（共同原告/共同被告、仲裁申请人/被申请人），他们的地位、作用；</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（八）核实有无利害关系第三人，他们的地位、作用；</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（九）核实关联方的其他信息，如，有无准确的名称、地址、联系人和联系方式等；</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（十）提出可行的诉讼请求，分析有无被反诉/反请求的可能，事实和理由；或者提出可行的答辩要点，分析有无反诉的可能性和必要性；</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（十一）是否需要采取诉讼保全或证据保全；</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（十二）是否需要调查取证，分析需要收集整理的证据材料，列明清单。</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40" w:name="_Toc13381"/>
      <w:r>
        <w:rPr>
          <w:rFonts w:hint="eastAsia" w:ascii="仿宋_GB2312" w:hAnsi="仿宋_GB2312" w:eastAsia="仿宋_GB2312" w:cs="仿宋_GB2312"/>
          <w:b/>
          <w:bCs/>
          <w:color w:val="auto"/>
          <w:kern w:val="2"/>
          <w:sz w:val="32"/>
          <w:szCs w:val="32"/>
          <w:u w:val="none"/>
          <w:lang w:val="en-US" w:eastAsia="zh-CN" w:bidi="ar-SA"/>
        </w:rPr>
        <w:t>第二十三条 进行委托内容</w:t>
      </w:r>
      <w:bookmarkEnd w:id="40"/>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根据与委托人分析并合意的结果，进行起诉/申请仲裁、应诉、追加/共同原告/共同被告/第三人。</w:t>
      </w:r>
    </w:p>
    <w:p>
      <w:pPr>
        <w:keepNext w:val="0"/>
        <w:keepLines w:val="0"/>
        <w:numPr>
          <w:ilvl w:val="0"/>
          <w:numId w:val="0"/>
        </w:numPr>
        <w:kinsoku/>
        <w:wordWrap/>
        <w:overflowPunct/>
        <w:topLinePunct w:val="0"/>
        <w:autoSpaceDE/>
        <w:autoSpaceDN/>
        <w:bidi w:val="0"/>
        <w:adjustRightInd/>
        <w:snapToGrid/>
        <w:spacing w:line="560" w:lineRule="exact"/>
        <w:jc w:val="center"/>
        <w:textAlignment w:val="auto"/>
        <w:outlineLvl w:val="1"/>
        <w:rPr>
          <w:rFonts w:hint="eastAsia" w:ascii="楷体" w:hAnsi="楷体" w:eastAsia="楷体" w:cs="楷体"/>
          <w:sz w:val="32"/>
          <w:szCs w:val="32"/>
          <w:lang w:val="en-US" w:eastAsia="zh-CN"/>
        </w:rPr>
      </w:pPr>
      <w:bookmarkStart w:id="41" w:name="_Toc26529"/>
      <w:r>
        <w:rPr>
          <w:rFonts w:hint="eastAsia" w:ascii="楷体" w:hAnsi="楷体" w:eastAsia="楷体" w:cs="楷体"/>
          <w:sz w:val="32"/>
          <w:szCs w:val="32"/>
          <w:lang w:val="en-US" w:eastAsia="zh-CN"/>
        </w:rPr>
        <w:t>第二节 其他诉前工作</w:t>
      </w:r>
      <w:bookmarkEnd w:id="41"/>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42" w:name="_Toc12802"/>
      <w:r>
        <w:rPr>
          <w:rFonts w:hint="eastAsia" w:ascii="仿宋_GB2312" w:hAnsi="仿宋_GB2312" w:eastAsia="仿宋_GB2312" w:cs="仿宋_GB2312"/>
          <w:b/>
          <w:bCs/>
          <w:color w:val="auto"/>
          <w:kern w:val="2"/>
          <w:sz w:val="32"/>
          <w:szCs w:val="32"/>
          <w:u w:val="none"/>
          <w:lang w:val="en-US" w:eastAsia="zh-CN" w:bidi="ar-SA"/>
        </w:rPr>
        <w:t>第二十四条 参与谈判、和解</w:t>
      </w:r>
      <w:bookmarkEnd w:id="42"/>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律师在提起诉讼前，可以应委托人的要求参与谈判、进行和解。</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43" w:name="_Toc29426"/>
      <w:r>
        <w:rPr>
          <w:rFonts w:hint="eastAsia" w:ascii="仿宋_GB2312" w:hAnsi="仿宋_GB2312" w:eastAsia="仿宋_GB2312" w:cs="仿宋_GB2312"/>
          <w:b/>
          <w:bCs/>
          <w:color w:val="auto"/>
          <w:kern w:val="2"/>
          <w:sz w:val="32"/>
          <w:szCs w:val="32"/>
          <w:u w:val="none"/>
          <w:lang w:val="en-US" w:eastAsia="zh-CN" w:bidi="ar-SA"/>
        </w:rPr>
        <w:t>第二十五条 委托人分析</w:t>
      </w:r>
      <w:bookmarkEnd w:id="43"/>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确定委托人在案件中的主体地位及简要分析：</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（一）委托人系国际货运代理企业的，主要进行以下资格审查：</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（二）企业法人营业执照，及营业执照中标明的经营范围；</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（三）国际货物运输代理业批准证书；</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（四）有无无船承运人资格证书。</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44" w:name="_Toc10139"/>
      <w:r>
        <w:rPr>
          <w:rFonts w:hint="eastAsia" w:ascii="仿宋_GB2312" w:hAnsi="仿宋_GB2312" w:eastAsia="仿宋_GB2312" w:cs="仿宋_GB2312"/>
          <w:b/>
          <w:bCs/>
          <w:color w:val="auto"/>
          <w:kern w:val="2"/>
          <w:sz w:val="32"/>
          <w:szCs w:val="32"/>
          <w:u w:val="none"/>
          <w:lang w:val="en-US" w:eastAsia="zh-CN" w:bidi="ar-SA"/>
        </w:rPr>
        <w:t>第二十六条 国内货运代理企业资格审查</w:t>
      </w:r>
      <w:bookmarkEnd w:id="44"/>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委托人系国内货运代理企业的，主要进行以下资格审查：</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（一）企业法人营业执照，及营业执照中标明的经营范围；</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（二）陆路货物运输服务许可证；</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（三）水路货物运输服务许可证。</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45" w:name="_Toc23588"/>
      <w:r>
        <w:rPr>
          <w:rFonts w:hint="eastAsia" w:ascii="仿宋_GB2312" w:hAnsi="仿宋_GB2312" w:eastAsia="仿宋_GB2312" w:cs="仿宋_GB2312"/>
          <w:b/>
          <w:bCs/>
          <w:color w:val="auto"/>
          <w:kern w:val="2"/>
          <w:sz w:val="32"/>
          <w:szCs w:val="32"/>
          <w:u w:val="none"/>
          <w:lang w:val="en-US" w:eastAsia="zh-CN" w:bidi="ar-SA"/>
        </w:rPr>
        <w:t>第二十七条 托运人资格审查</w:t>
      </w:r>
      <w:bookmarkEnd w:id="45"/>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委托人系托运人的，主要进行以下资格审查：</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（一）订舱委托书上委托主体和/或签署人的名称；</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（二）提单或运输单证上托运人栏中的标注名称；</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（三）国际贸易合同中的出口方/卖方名称；</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（四）海关出口货物报关单上经营单位、发货单位、申报人的名称；</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（五）信用证中受益人的名称；</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（六）其他可以证明托运人主体资格的材料。</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46" w:name="_Toc23598"/>
      <w:r>
        <w:rPr>
          <w:rFonts w:hint="eastAsia" w:ascii="仿宋_GB2312" w:hAnsi="仿宋_GB2312" w:eastAsia="仿宋_GB2312" w:cs="仿宋_GB2312"/>
          <w:b/>
          <w:bCs/>
          <w:color w:val="auto"/>
          <w:kern w:val="2"/>
          <w:sz w:val="32"/>
          <w:szCs w:val="32"/>
          <w:u w:val="none"/>
          <w:lang w:val="en-US" w:eastAsia="zh-CN" w:bidi="ar-SA"/>
        </w:rPr>
        <w:t>第二十八条 收货人资格审查</w:t>
      </w:r>
      <w:bookmarkEnd w:id="46"/>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委托人系收货人的，主要进行以下资格审查：</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（一）海关进口货物报关单上申报人的名称；</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（二）提单或运输单证上收货人栏中的标注名称和/或背书内容；</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（三）提货单（小提单）上提货人的名称；</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（四）国际贸易合同中的进口方/买方名称；</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（五）提单或运输单证上通知人栏中的标注名称。</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47" w:name="_Toc912"/>
      <w:r>
        <w:rPr>
          <w:rFonts w:hint="eastAsia" w:ascii="仿宋_GB2312" w:hAnsi="仿宋_GB2312" w:eastAsia="仿宋_GB2312" w:cs="仿宋_GB2312"/>
          <w:b/>
          <w:bCs/>
          <w:color w:val="auto"/>
          <w:kern w:val="2"/>
          <w:sz w:val="32"/>
          <w:szCs w:val="32"/>
          <w:u w:val="none"/>
          <w:lang w:val="en-US" w:eastAsia="zh-CN" w:bidi="ar-SA"/>
        </w:rPr>
        <w:t>第二十九条 承运人、船公司、无船承运人资格审查</w:t>
      </w:r>
      <w:bookmarkEnd w:id="47"/>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委托人系承运人、船公司、无船承运人的，主要进行以下资格审查：</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（一）企业法人营业执照，及营业执照中标明的经营范围。</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（二）提单的抬头人名称；</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（三）提单的签发人名称及其身份和地位；</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（四）无船承运人资格证书；</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（五）提单登记证书；</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48" w:name="_Toc21915"/>
      <w:r>
        <w:rPr>
          <w:rFonts w:hint="eastAsia" w:ascii="仿宋_GB2312" w:hAnsi="仿宋_GB2312" w:eastAsia="仿宋_GB2312" w:cs="仿宋_GB2312"/>
          <w:b/>
          <w:bCs/>
          <w:color w:val="auto"/>
          <w:kern w:val="2"/>
          <w:sz w:val="32"/>
          <w:szCs w:val="32"/>
          <w:u w:val="none"/>
          <w:lang w:val="en-US" w:eastAsia="zh-CN" w:bidi="ar-SA"/>
        </w:rPr>
        <w:t>第三十条 国际船舶代理企业资格审查</w:t>
      </w:r>
      <w:bookmarkEnd w:id="48"/>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委托人系国际船舶代理企业的，主要进行以下资格审查：</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（一）企业法人营业执照，及营业执照中标明的经营范围；</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（二）国际船舶代理业批准证书；</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（三）提单的签发人名称及其身份；</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（四）货运代理协议或授权书或委托书。</w:t>
      </w:r>
    </w:p>
    <w:p>
      <w:pPr>
        <w:keepNext w:val="0"/>
        <w:keepLines w:val="0"/>
        <w:kinsoku/>
        <w:wordWrap/>
        <w:overflowPunct/>
        <w:topLinePunct w:val="0"/>
        <w:autoSpaceDE/>
        <w:autoSpaceDN/>
        <w:bidi w:val="0"/>
        <w:adjustRightInd/>
        <w:snapToGrid/>
        <w:spacing w:line="560" w:lineRule="exact"/>
        <w:ind w:firstLine="640" w:firstLineChars="200"/>
        <w:jc w:val="center"/>
        <w:textAlignment w:val="auto"/>
        <w:outlineLvl w:val="1"/>
        <w:rPr>
          <w:rFonts w:hint="eastAsia" w:ascii="楷体" w:hAnsi="楷体" w:eastAsia="楷体" w:cs="楷体"/>
          <w:color w:val="auto"/>
          <w:kern w:val="2"/>
          <w:sz w:val="32"/>
          <w:szCs w:val="32"/>
          <w:u w:val="none"/>
          <w:lang w:val="en-US" w:eastAsia="zh-CN" w:bidi="ar-SA"/>
        </w:rPr>
      </w:pPr>
      <w:bookmarkStart w:id="49" w:name="_Toc2775"/>
      <w:r>
        <w:rPr>
          <w:rFonts w:hint="eastAsia" w:ascii="楷体" w:hAnsi="楷体" w:eastAsia="楷体" w:cs="楷体"/>
          <w:color w:val="auto"/>
          <w:kern w:val="2"/>
          <w:sz w:val="32"/>
          <w:szCs w:val="32"/>
          <w:u w:val="none"/>
          <w:lang w:val="en-US" w:eastAsia="zh-CN" w:bidi="ar-SA"/>
        </w:rPr>
        <w:t>第三节 常见跨境电商货损的主要情况及涉诉要点分析</w:t>
      </w:r>
      <w:bookmarkEnd w:id="49"/>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50" w:name="_Toc7478"/>
      <w:r>
        <w:rPr>
          <w:rFonts w:hint="eastAsia" w:ascii="仿宋_GB2312" w:hAnsi="仿宋_GB2312" w:eastAsia="仿宋_GB2312" w:cs="仿宋_GB2312"/>
          <w:b/>
          <w:bCs/>
          <w:color w:val="auto"/>
          <w:kern w:val="2"/>
          <w:sz w:val="32"/>
          <w:szCs w:val="32"/>
          <w:u w:val="none"/>
          <w:lang w:val="en-US" w:eastAsia="zh-CN" w:bidi="ar-SA"/>
        </w:rPr>
        <w:t>第三十一条 概念</w:t>
      </w:r>
      <w:bookmarkEnd w:id="50"/>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跨境电商货损是指跨境电商平台等卖家在货物运输过程中产生的灭失，主要存在以下几种情况：运输途中管理不到位导致部分货物灭失；退货处置不及时不合理导致存货报废；部分产品过期或者存在质量问题导致存货报废。</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51" w:name="_Toc29523"/>
      <w:r>
        <w:rPr>
          <w:rFonts w:hint="eastAsia" w:ascii="仿宋_GB2312" w:hAnsi="仿宋_GB2312" w:eastAsia="仿宋_GB2312" w:cs="仿宋_GB2312"/>
          <w:b/>
          <w:bCs/>
          <w:color w:val="auto"/>
          <w:kern w:val="2"/>
          <w:sz w:val="32"/>
          <w:szCs w:val="32"/>
          <w:u w:val="none"/>
          <w:lang w:val="en-US" w:eastAsia="zh-CN" w:bidi="ar-SA"/>
        </w:rPr>
        <w:t>第三十二条 案由</w:t>
      </w:r>
      <w:bookmarkEnd w:id="51"/>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（一）根据现有证据及委托人及关联方的法律地位确定案由。</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52" w:name="No64_D5"/>
      <w:bookmarkEnd w:id="52"/>
      <w:r>
        <w:rPr>
          <w:rFonts w:hint="eastAsia" w:ascii="仿宋_GB2312" w:hAnsi="仿宋_GB2312" w:eastAsia="仿宋_GB2312" w:cs="仿宋_GB2312"/>
          <w:color w:val="auto"/>
          <w:kern w:val="2"/>
          <w:sz w:val="32"/>
          <w:szCs w:val="32"/>
          <w:u w:val="none"/>
          <w:lang w:val="en-US" w:eastAsia="zh-CN" w:bidi="ar-SA"/>
        </w:rPr>
        <w:t>（二）具体案由包括：</w:t>
      </w:r>
    </w:p>
    <w:p>
      <w:pPr>
        <w:keepNext w:val="0"/>
        <w:keepLines w:val="0"/>
        <w:kinsoku/>
        <w:wordWrap/>
        <w:overflowPunct/>
        <w:topLinePunct w:val="0"/>
        <w:autoSpaceDE/>
        <w:autoSpaceDN/>
        <w:bidi w:val="0"/>
        <w:adjustRightInd/>
        <w:snapToGrid/>
        <w:spacing w:line="560" w:lineRule="exact"/>
        <w:ind w:firstLine="640" w:firstLineChars="200"/>
        <w:textAlignment w:val="auto"/>
        <w:outlineLvl w:val="3"/>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1.海上、通海水域货运代理合同纠纷</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海上、通海水域货运代理合同：指货运代理企业接受委托人的委托，办理与海上、通海水域与货物运输有关的货运代理事务，并就所提供的服务向委托人收取约定报酬的合同。货运代理企业接受委托人委托，处理与海上货物运输有关的货运代理事务内容繁多，一般来说，货运代理企业提供的典型的货运代理业务包括：</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（1）提供订舱、报关、报检、报验、保险服务；</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（2）提供货物的包装、监装、监卸、集装箱拆卸箱、分拨、中转服务；</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（3）缮制、交付有关单证并进行费用结算；</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（4）提供仓储、短途陆路运输服务；</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（5）处理其他海上货运代理事务。</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货运代理企业因履行前述事务与委托人之间发生的纠纷，则属于典型的海上、通海水域货物代理合同纠纷。</w:t>
      </w:r>
    </w:p>
    <w:p>
      <w:pPr>
        <w:keepNext w:val="0"/>
        <w:keepLines w:val="0"/>
        <w:kinsoku/>
        <w:wordWrap/>
        <w:overflowPunct/>
        <w:topLinePunct w:val="0"/>
        <w:autoSpaceDE/>
        <w:autoSpaceDN/>
        <w:bidi w:val="0"/>
        <w:adjustRightInd/>
        <w:snapToGrid/>
        <w:spacing w:line="560" w:lineRule="exact"/>
        <w:ind w:firstLine="640" w:firstLineChars="200"/>
        <w:textAlignment w:val="auto"/>
        <w:outlineLvl w:val="3"/>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2.海上、通海水域货物运输合同纠纷</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海上、通海水域货物运输合同，是指承运人收取运费，负责将托运人托运的货物经海路及通海水域运输的合同。该合同当事人因合同的订立、履行、变更和终止而产生的纠纷，即为海上、通海水域货物运输合同纠纷。</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海上、通海水域货物运输合同纠纷，具体包括远洋运输、含有海运区段的国际多式联运、沿海和内河运输，以及水水联运、水陆联运等水上货物运输合同纠纷。根据海商法第四章的规定，因海上货物运输合同而产生的纠纷，包括海上货物运输合同的成立、效力、货损货差、货物灭失、货物交付以及运费、运输单证、合同的解除、违约责任等纠纷。通海水域即与海相通的水域，包括我国的长江、珠江等。</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水路货物运输合同，是指承运人以船舶经水路将货物从一港运至另一港的合同。水路货物运输合同纠纷仅指因经营性运输行为引起的纠纷。本部分涉及的国内水路运输合同纠纷，是指由海事法院专门管辖的沿海和内河水路货物运输合同纠纷。</w:t>
      </w:r>
    </w:p>
    <w:p>
      <w:pPr>
        <w:keepNext w:val="0"/>
        <w:keepLines w:val="0"/>
        <w:kinsoku/>
        <w:wordWrap/>
        <w:overflowPunct/>
        <w:topLinePunct w:val="0"/>
        <w:autoSpaceDE/>
        <w:autoSpaceDN/>
        <w:bidi w:val="0"/>
        <w:adjustRightInd/>
        <w:snapToGrid/>
        <w:spacing w:line="560" w:lineRule="exact"/>
        <w:ind w:firstLine="640" w:firstLineChars="200"/>
        <w:textAlignment w:val="auto"/>
        <w:outlineLvl w:val="3"/>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3.运输合同纠纷；</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运输合同，是指承运人将旅客或者货物从起运地点运输到约定地点，旅客、托运人或者收货人支付票款或者运输费用的合同。运输合同的主体是承运人和旅客、托运人。</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按照运输方式，运输合同可分为公路运输、水路运输、航空运输、铁路运输、管道运输和多式联运；按照运送对象，运输合同可分为旅客运输合同和货物运输合同。</w:t>
      </w:r>
    </w:p>
    <w:p>
      <w:pPr>
        <w:keepNext w:val="0"/>
        <w:keepLines w:val="0"/>
        <w:kinsoku/>
        <w:wordWrap/>
        <w:overflowPunct/>
        <w:topLinePunct w:val="0"/>
        <w:autoSpaceDE/>
        <w:autoSpaceDN/>
        <w:bidi w:val="0"/>
        <w:adjustRightInd/>
        <w:snapToGrid/>
        <w:spacing w:line="560" w:lineRule="exact"/>
        <w:ind w:firstLine="640" w:firstLineChars="200"/>
        <w:textAlignment w:val="auto"/>
        <w:outlineLvl w:val="3"/>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4.水路货物运输合同纠纷</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水路货物运输合同纠纷是指承运人以船舶经水路将货物从一港运送至另一港的合同产生的权利义务纠纷。本案由仅指因经营性运输行为引起的纠纷，因非营业性水路运输引起的争议不适用本案由。</w:t>
      </w:r>
    </w:p>
    <w:p>
      <w:pPr>
        <w:keepNext w:val="0"/>
        <w:keepLines w:val="0"/>
        <w:kinsoku/>
        <w:wordWrap/>
        <w:overflowPunct/>
        <w:topLinePunct w:val="0"/>
        <w:autoSpaceDE/>
        <w:autoSpaceDN/>
        <w:bidi w:val="0"/>
        <w:adjustRightInd/>
        <w:snapToGrid/>
        <w:spacing w:line="560" w:lineRule="exact"/>
        <w:ind w:firstLine="640" w:firstLineChars="200"/>
        <w:textAlignment w:val="auto"/>
        <w:outlineLvl w:val="3"/>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5.航空货物运输合同纠纷</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航空货物运输合同纠纷是指航空运输承运人使用航空器和其他设备，采用航空运输的方式，将托运人的货物安全运抵指定地点交给收货人的合同产生的权利义务纠纷。</w:t>
      </w:r>
    </w:p>
    <w:p>
      <w:pPr>
        <w:keepNext w:val="0"/>
        <w:keepLines w:val="0"/>
        <w:kinsoku/>
        <w:wordWrap/>
        <w:overflowPunct/>
        <w:topLinePunct w:val="0"/>
        <w:autoSpaceDE/>
        <w:autoSpaceDN/>
        <w:bidi w:val="0"/>
        <w:adjustRightInd/>
        <w:snapToGrid/>
        <w:spacing w:line="560" w:lineRule="exact"/>
        <w:ind w:firstLine="640" w:firstLineChars="200"/>
        <w:textAlignment w:val="auto"/>
        <w:outlineLvl w:val="3"/>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6.联合运输合同纠纷</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联合运输合同，也叫相继运输，该纠纷是指多个承运人以同一种运输方式共同完成货物运输的一种合同产生的权利义务纠纷。托运人只与数个承运人当中的一个承运人，通常主要是第一个承运人签订运输合同。</w:t>
      </w:r>
    </w:p>
    <w:p>
      <w:pPr>
        <w:keepNext w:val="0"/>
        <w:keepLines w:val="0"/>
        <w:kinsoku/>
        <w:wordWrap/>
        <w:overflowPunct/>
        <w:topLinePunct w:val="0"/>
        <w:autoSpaceDE/>
        <w:autoSpaceDN/>
        <w:bidi w:val="0"/>
        <w:adjustRightInd/>
        <w:snapToGrid/>
        <w:spacing w:line="560" w:lineRule="exact"/>
        <w:ind w:firstLine="640" w:firstLineChars="200"/>
        <w:textAlignment w:val="auto"/>
        <w:outlineLvl w:val="3"/>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7.多式联运合同纠纷</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多式联运合同纠纷是指多式联运经营人以两种以上的不同运输方式，负责将货物从接收地运至目的地交付收货人，并收取全程运费的合同产生的权利义务纠纷。</w:t>
      </w:r>
    </w:p>
    <w:p>
      <w:pPr>
        <w:keepNext w:val="0"/>
        <w:keepLines w:val="0"/>
        <w:kinsoku/>
        <w:wordWrap/>
        <w:overflowPunct/>
        <w:topLinePunct w:val="0"/>
        <w:autoSpaceDE/>
        <w:autoSpaceDN/>
        <w:bidi w:val="0"/>
        <w:adjustRightInd/>
        <w:snapToGrid/>
        <w:spacing w:line="560" w:lineRule="exact"/>
        <w:ind w:firstLine="640" w:firstLineChars="200"/>
        <w:textAlignment w:val="auto"/>
        <w:outlineLvl w:val="3"/>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8.铁路货物运输合同纠纷</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铁路货物运输合同纠纷是指作为承运人的铁路运输企业按照合同约定期限或国务院铁路主管部门规定的期限，将货物运输到目的地，由托运人或收货人支付运费的合同产生的权利义务纠纷。</w:t>
      </w:r>
    </w:p>
    <w:p>
      <w:pPr>
        <w:keepNext w:val="0"/>
        <w:keepLines w:val="0"/>
        <w:kinsoku/>
        <w:wordWrap/>
        <w:overflowPunct/>
        <w:topLinePunct w:val="0"/>
        <w:autoSpaceDE/>
        <w:autoSpaceDN/>
        <w:bidi w:val="0"/>
        <w:adjustRightInd/>
        <w:snapToGrid/>
        <w:spacing w:line="560" w:lineRule="exact"/>
        <w:ind w:firstLine="640" w:firstLineChars="200"/>
        <w:textAlignment w:val="auto"/>
        <w:outlineLvl w:val="3"/>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9.国际铁路联运合同纠纷</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国际铁路联运合同纠纷是指国际联运承运人按照与托运人的合同约定，通过铁路跨国运送货物的合同产生的权利义务纠纷。</w:t>
      </w:r>
    </w:p>
    <w:p>
      <w:pPr>
        <w:keepNext w:val="0"/>
        <w:keepLines w:val="0"/>
        <w:kinsoku/>
        <w:wordWrap/>
        <w:overflowPunct/>
        <w:topLinePunct w:val="0"/>
        <w:autoSpaceDE/>
        <w:autoSpaceDN/>
        <w:bidi w:val="0"/>
        <w:adjustRightInd/>
        <w:snapToGrid/>
        <w:spacing w:line="560" w:lineRule="exact"/>
        <w:ind w:firstLine="640" w:firstLineChars="200"/>
        <w:textAlignment w:val="auto"/>
        <w:outlineLvl w:val="3"/>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10.货运代理合同纠纷</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货运代理合同纠纷是指委托人与代理人约定，由代理人为委托人处理货物运输事务的合同产生的纠纷。</w:t>
      </w:r>
    </w:p>
    <w:p>
      <w:pPr>
        <w:keepNext w:val="0"/>
        <w:keepLines w:val="0"/>
        <w:kinsoku/>
        <w:wordWrap/>
        <w:overflowPunct/>
        <w:topLinePunct w:val="0"/>
        <w:autoSpaceDE/>
        <w:autoSpaceDN/>
        <w:bidi w:val="0"/>
        <w:adjustRightInd/>
        <w:snapToGrid/>
        <w:spacing w:line="560" w:lineRule="exact"/>
        <w:ind w:firstLine="640" w:firstLineChars="200"/>
        <w:textAlignment w:val="auto"/>
        <w:outlineLvl w:val="3"/>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11.保管合同纠纷</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保管合同又被称为寄托合同、寄存合同，其本质是提供劳务的合同，依保管合同交付保管物只是临时转移保管物的占有权。保管合同既可能是有偿合同，也可能是无偿合同。</w:t>
      </w:r>
    </w:p>
    <w:p>
      <w:pPr>
        <w:keepNext w:val="0"/>
        <w:keepLines w:val="0"/>
        <w:kinsoku/>
        <w:wordWrap/>
        <w:overflowPunct/>
        <w:topLinePunct w:val="0"/>
        <w:autoSpaceDE/>
        <w:autoSpaceDN/>
        <w:bidi w:val="0"/>
        <w:adjustRightInd/>
        <w:snapToGrid/>
        <w:spacing w:line="560" w:lineRule="exact"/>
        <w:ind w:firstLine="640" w:firstLineChars="200"/>
        <w:textAlignment w:val="auto"/>
        <w:outlineLvl w:val="3"/>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12.仓储合同纠纷</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根据《民法典》第904条的规定，仓储合同是保管人储存存货人交付的仓储物，存货人支付仓储费的合同。提供储存保管服务的一方称为保管人，接收储存保管服务并支付报酬的一方称为存货人，交付保管的货物为仓储物。仓储合同是一种特殊的保管合同，它有自己的特殊特征，同时又有保管合同的基本特征。因此，《民法典》第918条规定，对仓储合同没有规定的，适用保管合同的有关规定。</w:t>
      </w:r>
    </w:p>
    <w:p>
      <w:pPr>
        <w:keepNext w:val="0"/>
        <w:keepLines w:val="0"/>
        <w:kinsoku/>
        <w:wordWrap/>
        <w:overflowPunct/>
        <w:topLinePunct w:val="0"/>
        <w:autoSpaceDE/>
        <w:autoSpaceDN/>
        <w:bidi w:val="0"/>
        <w:adjustRightInd/>
        <w:snapToGrid/>
        <w:spacing w:line="560" w:lineRule="exact"/>
        <w:ind w:firstLine="640" w:firstLineChars="200"/>
        <w:textAlignment w:val="auto"/>
        <w:outlineLvl w:val="3"/>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13.港口作业纠纷</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港口作业，通常是指港口接受作业委托人的委托，对运抵或运离港口的各类货物进行装卸、驳运、仓储或保管、装拆集装箱等操作。因此而发生的纠纷为港口作业纠纷。港口作业纠纷可以分为两类：一类是在港口对货物进行装卸、驳运、仓储或保管、装拆集装箱等作业过程中，港口经营人或作业委托人因违反港口作业合同而发生的违约纠纷，另一类是相关人员在操作港口作业机械、设备过程中造成港口设施损坏或者给他人人身、财产损坏发生的损害赔偿责任。</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53" w:name="_Toc7934"/>
      <w:r>
        <w:rPr>
          <w:rFonts w:hint="eastAsia" w:ascii="仿宋_GB2312" w:hAnsi="仿宋_GB2312" w:eastAsia="仿宋_GB2312" w:cs="仿宋_GB2312"/>
          <w:b/>
          <w:bCs/>
          <w:color w:val="auto"/>
          <w:kern w:val="2"/>
          <w:sz w:val="32"/>
          <w:szCs w:val="32"/>
          <w:u w:val="none"/>
          <w:lang w:val="en-US" w:eastAsia="zh-CN" w:bidi="ar-SA"/>
        </w:rPr>
        <w:t>第三十三条 主管与管辖</w:t>
      </w:r>
      <w:bookmarkEnd w:id="53"/>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（一）是否有关于法院管辖的约定或仲裁约定，该约定是否合法有效；法院管辖的约定是否违反专属管辖或级别管辖的规定。</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54" w:name="No67_D5"/>
      <w:bookmarkEnd w:id="54"/>
      <w:r>
        <w:rPr>
          <w:rFonts w:hint="eastAsia" w:ascii="仿宋_GB2312" w:hAnsi="仿宋_GB2312" w:eastAsia="仿宋_GB2312" w:cs="仿宋_GB2312"/>
          <w:color w:val="auto"/>
          <w:kern w:val="2"/>
          <w:sz w:val="32"/>
          <w:szCs w:val="32"/>
          <w:u w:val="none"/>
          <w:lang w:val="en-US" w:eastAsia="zh-CN" w:bidi="ar-SA"/>
        </w:rPr>
        <w:t>（二）如果没有合法约定，则根据法律规定确定管辖</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委托合同纠纷：委托合同纠纷案件，按照合同纠纷案件的一般原则，由被告住所地或合同履行地人民法院管辖。若当事人对管辖法院有特殊约定，且约定符合《民事诉讼法》第34条关于协议管辖的规定，则从其约定。合同履行地以受托人办理委托事务的地点为准。</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运输合同纠纷：在确定运输合同纠纷的管辖法院时，应注意区分普通运输方式与铁路运输、海上运输的不同。根据《最高人民法院关于铁路运输法院案件管辖范围的若干规定》第三条的规定，铁路旅客和行李、包裹运输合同纠纷、铁路货物运输合同和铁路货物运输保险合同纠纷、国际铁路联运合同和铁路运输企业作为经营人的多式联运合同纠纷，由铁路运输法院管辖。海上运输合同纠纷案件由海事法院管辖，而其他纠纷由运输始发地、目的地或被告住所地人民法院管辖。</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保管合同纠纷：保管合同纠纷案件，按照合同纠纷案件的一般管辖原则，由被告住所地或合同履行地人民法院管辖。如保管物为不动产，则由不动产所在地人民法院管辖。根据《最高人民法院关于军事法院管辖民事案件若干问题的规定》第2条的规定，《民事诉讼法》第33条规定的不动产所在地在营区内，且当事人一方为军人或者军队单位的案件，地方当事人向军事法院提起诉讼或者提出申请的，军事法院应当受理。</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仓储合同纠纷：仓储合同纠纷案件，按照合同纠纷案件的一般管辖原则，由被告住所地或合同履行地人民法院管辖。</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55" w:name="_Toc20708"/>
      <w:r>
        <w:rPr>
          <w:rFonts w:hint="eastAsia" w:ascii="仿宋_GB2312" w:hAnsi="仿宋_GB2312" w:eastAsia="仿宋_GB2312" w:cs="仿宋_GB2312"/>
          <w:b/>
          <w:bCs/>
          <w:color w:val="auto"/>
          <w:kern w:val="2"/>
          <w:sz w:val="32"/>
          <w:szCs w:val="32"/>
          <w:u w:val="none"/>
          <w:lang w:val="en-US" w:eastAsia="zh-CN" w:bidi="ar-SA"/>
        </w:rPr>
        <w:t>第三十四条 诉讼主体</w:t>
      </w:r>
      <w:bookmarkEnd w:id="55"/>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依法订立的合同对当事人合法有效，根据合同性质及类型确定诉讼主体。</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56" w:name="_Toc8110"/>
      <w:r>
        <w:rPr>
          <w:rFonts w:hint="eastAsia" w:ascii="仿宋_GB2312" w:hAnsi="仿宋_GB2312" w:eastAsia="仿宋_GB2312" w:cs="仿宋_GB2312"/>
          <w:b/>
          <w:bCs/>
          <w:color w:val="auto"/>
          <w:kern w:val="2"/>
          <w:sz w:val="32"/>
          <w:szCs w:val="32"/>
          <w:u w:val="none"/>
          <w:lang w:val="en-US" w:eastAsia="zh-CN" w:bidi="ar-SA"/>
        </w:rPr>
        <w:t>第三十五条 诉讼时效</w:t>
      </w:r>
      <w:bookmarkEnd w:id="56"/>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（一）普通诉讼时效</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普通货物运输的诉讼时效期间为三年，法律另有规定的，依照其规定，自权利人知道或者应当知道权利受到损害以及义务人之日起计算。但是，自权利受到损害之日起超过二十年的，人民法院不予保护，有特殊情况的，人民法院可以根据权利人的申请决定延长。</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（二）特殊诉讼时效</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海上货物运输：就海上货物运输向承运人要求赔偿的请求权，时效期间为一年，自承运人交付或者应当交付货物之日起计算；</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航空货物运输：航空运输的诉讼时效期间为二年，自民用航空器到达目的地点、应当到达目的地点或者运输终止之日起计算。</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57" w:name="_Toc15441"/>
      <w:r>
        <w:rPr>
          <w:rFonts w:hint="eastAsia" w:ascii="仿宋_GB2312" w:hAnsi="仿宋_GB2312" w:eastAsia="仿宋_GB2312" w:cs="仿宋_GB2312"/>
          <w:b/>
          <w:bCs/>
          <w:color w:val="auto"/>
          <w:kern w:val="2"/>
          <w:sz w:val="32"/>
          <w:szCs w:val="32"/>
          <w:u w:val="none"/>
          <w:lang w:val="en-US" w:eastAsia="zh-CN" w:bidi="ar-SA"/>
        </w:rPr>
        <w:t>第三十六条 诉讼请求</w:t>
      </w:r>
      <w:bookmarkEnd w:id="57"/>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（一）请求事项主要有：</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1.给付费用；</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2.赔偿损失；</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3.为或者不为一定的行为（包括交付或返还货物或单证）。</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（二）请求事项内容的构成主要有：</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58" w:name="No90_D7"/>
      <w:bookmarkEnd w:id="58"/>
      <w:r>
        <w:rPr>
          <w:rFonts w:hint="eastAsia" w:ascii="仿宋_GB2312" w:hAnsi="仿宋_GB2312" w:eastAsia="仿宋_GB2312" w:cs="仿宋_GB2312"/>
          <w:color w:val="auto"/>
          <w:kern w:val="2"/>
          <w:sz w:val="32"/>
          <w:szCs w:val="32"/>
          <w:u w:val="none"/>
          <w:lang w:val="en-US" w:eastAsia="zh-CN" w:bidi="ar-SA"/>
        </w:rPr>
        <w:t>1.请求给付费用的主要内容：欠付或者代垫的海运费、关税增值税、内陆运费，包干费、报关费、代理费、货款、滞箱费、堆存费、利息等费用；</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59" w:name="No91_D7"/>
      <w:bookmarkEnd w:id="59"/>
      <w:r>
        <w:rPr>
          <w:rFonts w:hint="eastAsia" w:ascii="仿宋_GB2312" w:hAnsi="仿宋_GB2312" w:eastAsia="仿宋_GB2312" w:cs="仿宋_GB2312"/>
          <w:color w:val="auto"/>
          <w:kern w:val="2"/>
          <w:sz w:val="32"/>
          <w:szCs w:val="32"/>
          <w:u w:val="none"/>
          <w:lang w:val="en-US" w:eastAsia="zh-CN" w:bidi="ar-SA"/>
        </w:rPr>
        <w:t>2.请求赔偿损失的主要内容：因相对方违约或侵权引起的相关损失、货款损失、行市损失、货物贬值的损失、调查费、公证认证费、翻译费和律师费等；</w:t>
      </w:r>
    </w:p>
    <w:p>
      <w:pPr>
        <w:keepNext w:val="0"/>
        <w:keepLines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kern w:val="2"/>
          <w:sz w:val="32"/>
          <w:szCs w:val="32"/>
          <w:u w:val="none"/>
          <w:lang w:val="en-US" w:eastAsia="zh-CN" w:bidi="ar-SA"/>
        </w:rPr>
      </w:pPr>
      <w:bookmarkStart w:id="60" w:name="No92_D7"/>
      <w:bookmarkEnd w:id="60"/>
      <w:r>
        <w:rPr>
          <w:rFonts w:hint="eastAsia" w:ascii="仿宋_GB2312" w:hAnsi="仿宋_GB2312" w:eastAsia="仿宋_GB2312" w:cs="仿宋_GB2312"/>
          <w:color w:val="auto"/>
          <w:kern w:val="2"/>
          <w:sz w:val="32"/>
          <w:szCs w:val="32"/>
          <w:u w:val="none"/>
          <w:lang w:val="en-US" w:eastAsia="zh-CN" w:bidi="ar-SA"/>
        </w:rPr>
        <w:t>3.请求交付提单等单证、交付货物、为或者不为一定行为等。</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（三）主要证据</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1.物流服务合同；</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2.采购合同；</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3.交接货物明细单；</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4.物流费对账单、支付凭证；</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5.报关单；</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6.邮寄凭证。</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61" w:name="_Toc26650"/>
      <w:r>
        <w:rPr>
          <w:rFonts w:hint="eastAsia" w:ascii="仿宋_GB2312" w:hAnsi="仿宋_GB2312" w:eastAsia="仿宋_GB2312" w:cs="仿宋_GB2312"/>
          <w:b/>
          <w:bCs/>
          <w:color w:val="auto"/>
          <w:kern w:val="2"/>
          <w:sz w:val="32"/>
          <w:szCs w:val="32"/>
          <w:u w:val="none"/>
          <w:lang w:val="en-US" w:eastAsia="zh-CN" w:bidi="ar-SA"/>
        </w:rPr>
        <w:t>第三十七条 赔偿数额的计算</w:t>
      </w:r>
      <w:bookmarkEnd w:id="61"/>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（一）货物价值的计算，主要依据是：买卖合同约定价格、发票显示价格或实际支付货款单据、货值证明、报关金额和保险价值等；</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62" w:name="No95_D7"/>
      <w:bookmarkEnd w:id="62"/>
      <w:r>
        <w:rPr>
          <w:rFonts w:hint="eastAsia" w:ascii="仿宋_GB2312" w:hAnsi="仿宋_GB2312" w:eastAsia="仿宋_GB2312" w:cs="仿宋_GB2312"/>
          <w:color w:val="auto"/>
          <w:kern w:val="2"/>
          <w:sz w:val="32"/>
          <w:szCs w:val="32"/>
          <w:u w:val="none"/>
          <w:lang w:val="en-US" w:eastAsia="zh-CN" w:bidi="ar-SA"/>
        </w:rPr>
        <w:t>（二）运费、包干费的支付标准，约定的依据或第三方证明；</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63" w:name="No96_D7"/>
      <w:bookmarkEnd w:id="63"/>
      <w:r>
        <w:rPr>
          <w:rFonts w:hint="eastAsia" w:ascii="仿宋_GB2312" w:hAnsi="仿宋_GB2312" w:eastAsia="仿宋_GB2312" w:cs="仿宋_GB2312"/>
          <w:color w:val="auto"/>
          <w:kern w:val="2"/>
          <w:sz w:val="32"/>
          <w:szCs w:val="32"/>
          <w:u w:val="none"/>
          <w:lang w:val="en-US" w:eastAsia="zh-CN" w:bidi="ar-SA"/>
        </w:rPr>
        <w:t>（三）违约金，约定的依据，是否存在惩罚性违约金的情况；</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64" w:name="No97_D7"/>
      <w:bookmarkEnd w:id="64"/>
      <w:r>
        <w:rPr>
          <w:rFonts w:hint="eastAsia" w:ascii="仿宋_GB2312" w:hAnsi="仿宋_GB2312" w:eastAsia="仿宋_GB2312" w:cs="仿宋_GB2312"/>
          <w:color w:val="auto"/>
          <w:kern w:val="2"/>
          <w:sz w:val="32"/>
          <w:szCs w:val="32"/>
          <w:u w:val="none"/>
          <w:lang w:val="en-US" w:eastAsia="zh-CN" w:bidi="ar-SA"/>
        </w:rPr>
        <w:t>（四）利息，要求利息损失的依据和计算起止期间和具体标准；</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65" w:name="No98_D7"/>
      <w:bookmarkEnd w:id="65"/>
      <w:r>
        <w:rPr>
          <w:rFonts w:hint="eastAsia" w:ascii="仿宋_GB2312" w:hAnsi="仿宋_GB2312" w:eastAsia="仿宋_GB2312" w:cs="仿宋_GB2312"/>
          <w:color w:val="auto"/>
          <w:kern w:val="2"/>
          <w:sz w:val="32"/>
          <w:szCs w:val="32"/>
          <w:u w:val="none"/>
          <w:lang w:val="en-US" w:eastAsia="zh-CN" w:bidi="ar-SA"/>
        </w:rPr>
        <w:t>（五）调查费用、交通费用及其他损失的计算的依据；</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66" w:name="No99_D7"/>
      <w:bookmarkEnd w:id="66"/>
      <w:r>
        <w:rPr>
          <w:rFonts w:hint="eastAsia" w:ascii="仿宋_GB2312" w:hAnsi="仿宋_GB2312" w:eastAsia="仿宋_GB2312" w:cs="仿宋_GB2312"/>
          <w:color w:val="auto"/>
          <w:kern w:val="2"/>
          <w:sz w:val="32"/>
          <w:szCs w:val="32"/>
          <w:u w:val="none"/>
          <w:lang w:val="en-US" w:eastAsia="zh-CN" w:bidi="ar-SA"/>
        </w:rPr>
        <w:t>（六）律师费的负担依据；</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67" w:name="No100_D7"/>
      <w:bookmarkEnd w:id="67"/>
      <w:r>
        <w:rPr>
          <w:rFonts w:hint="eastAsia" w:ascii="仿宋_GB2312" w:hAnsi="仿宋_GB2312" w:eastAsia="仿宋_GB2312" w:cs="仿宋_GB2312"/>
          <w:color w:val="auto"/>
          <w:kern w:val="2"/>
          <w:sz w:val="32"/>
          <w:szCs w:val="32"/>
          <w:u w:val="none"/>
          <w:lang w:val="en-US" w:eastAsia="zh-CN" w:bidi="ar-SA"/>
        </w:rPr>
        <w:t>（七） 货物的保险、理赔情况；</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68" w:name="No101_D7"/>
      <w:bookmarkEnd w:id="68"/>
      <w:r>
        <w:rPr>
          <w:rFonts w:hint="eastAsia" w:ascii="仿宋_GB2312" w:hAnsi="仿宋_GB2312" w:eastAsia="仿宋_GB2312" w:cs="仿宋_GB2312"/>
          <w:color w:val="auto"/>
          <w:kern w:val="2"/>
          <w:sz w:val="32"/>
          <w:szCs w:val="32"/>
          <w:u w:val="none"/>
          <w:lang w:val="en-US" w:eastAsia="zh-CN" w:bidi="ar-SA"/>
        </w:rPr>
        <w:t>（八）退税是否已实际完成；</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69" w:name="No102_D7"/>
      <w:bookmarkEnd w:id="69"/>
      <w:r>
        <w:rPr>
          <w:rFonts w:hint="eastAsia" w:ascii="仿宋_GB2312" w:hAnsi="仿宋_GB2312" w:eastAsia="仿宋_GB2312" w:cs="仿宋_GB2312"/>
          <w:color w:val="auto"/>
          <w:kern w:val="2"/>
          <w:sz w:val="32"/>
          <w:szCs w:val="32"/>
          <w:u w:val="none"/>
          <w:lang w:val="en-US" w:eastAsia="zh-CN" w:bidi="ar-SA"/>
        </w:rPr>
        <w:t>（九）国际贸易项下的货款支付情况。</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70" w:name="_Toc18841"/>
      <w:r>
        <w:rPr>
          <w:rFonts w:hint="eastAsia" w:ascii="仿宋_GB2312" w:hAnsi="仿宋_GB2312" w:eastAsia="仿宋_GB2312" w:cs="仿宋_GB2312"/>
          <w:b/>
          <w:bCs/>
          <w:color w:val="auto"/>
          <w:kern w:val="2"/>
          <w:sz w:val="32"/>
          <w:szCs w:val="32"/>
          <w:u w:val="none"/>
          <w:lang w:val="en-US" w:eastAsia="zh-CN" w:bidi="ar-SA"/>
        </w:rPr>
        <w:t>第三十八条 法律适用</w:t>
      </w:r>
      <w:bookmarkEnd w:id="70"/>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（一）合同中是否有关于法律适用的条款约定；</w:t>
      </w:r>
      <w:bookmarkStart w:id="71" w:name="No83_D4"/>
      <w:bookmarkEnd w:id="71"/>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（二）合同中所约定的适用法律，是否为我国未加入或者未在我国生效的公约或者双边协定；</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72" w:name="No84_D4"/>
      <w:bookmarkEnd w:id="72"/>
      <w:r>
        <w:rPr>
          <w:rFonts w:hint="eastAsia" w:ascii="仿宋_GB2312" w:hAnsi="仿宋_GB2312" w:eastAsia="仿宋_GB2312" w:cs="仿宋_GB2312"/>
          <w:color w:val="auto"/>
          <w:kern w:val="2"/>
          <w:sz w:val="32"/>
          <w:szCs w:val="32"/>
          <w:u w:val="none"/>
          <w:lang w:val="en-US" w:eastAsia="zh-CN" w:bidi="ar-SA"/>
        </w:rPr>
        <w:t>（三）适用该外国法律是否会违反我国社会公共利益；</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73" w:name="No85_D4"/>
      <w:bookmarkEnd w:id="73"/>
      <w:r>
        <w:rPr>
          <w:rFonts w:hint="eastAsia" w:ascii="仿宋_GB2312" w:hAnsi="仿宋_GB2312" w:eastAsia="仿宋_GB2312" w:cs="仿宋_GB2312"/>
          <w:color w:val="auto"/>
          <w:kern w:val="2"/>
          <w:sz w:val="32"/>
          <w:szCs w:val="32"/>
          <w:u w:val="none"/>
          <w:lang w:val="en-US" w:eastAsia="zh-CN" w:bidi="ar-SA"/>
        </w:rPr>
        <w:t>（四）选择的外国法律所在国不同区域实施不同法律的，适用与涉外民事关系有最密切联系区域的法律；</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74" w:name="No86_D4"/>
      <w:bookmarkEnd w:id="74"/>
      <w:r>
        <w:rPr>
          <w:rFonts w:hint="eastAsia" w:ascii="仿宋_GB2312" w:hAnsi="仿宋_GB2312" w:eastAsia="仿宋_GB2312" w:cs="仿宋_GB2312"/>
          <w:color w:val="auto"/>
          <w:kern w:val="2"/>
          <w:sz w:val="32"/>
          <w:szCs w:val="32"/>
          <w:u w:val="none"/>
          <w:lang w:val="en-US" w:eastAsia="zh-CN" w:bidi="ar-SA"/>
        </w:rPr>
        <w:t>（五）适用的外国法律，不包括该国的法律适用法；</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75" w:name="No87_D4"/>
      <w:bookmarkEnd w:id="75"/>
      <w:r>
        <w:rPr>
          <w:rFonts w:hint="eastAsia" w:ascii="仿宋_GB2312" w:hAnsi="仿宋_GB2312" w:eastAsia="仿宋_GB2312" w:cs="仿宋_GB2312"/>
          <w:color w:val="auto"/>
          <w:kern w:val="2"/>
          <w:sz w:val="32"/>
          <w:szCs w:val="32"/>
          <w:u w:val="none"/>
          <w:lang w:val="en-US" w:eastAsia="zh-CN" w:bidi="ar-SA"/>
        </w:rPr>
        <w:t>（六）适用的外国法律，由人民法院、仲裁机构或者行政机关查明，当事人选择适用外国法律的，应当提供该国法律，不能查明外国法律或者该国法律没有规定的，适用中华人民共和国法律；</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76" w:name="No88_D4"/>
      <w:bookmarkEnd w:id="76"/>
      <w:r>
        <w:rPr>
          <w:rFonts w:hint="eastAsia" w:ascii="仿宋_GB2312" w:hAnsi="仿宋_GB2312" w:eastAsia="仿宋_GB2312" w:cs="仿宋_GB2312"/>
          <w:color w:val="auto"/>
          <w:kern w:val="2"/>
          <w:sz w:val="32"/>
          <w:szCs w:val="32"/>
          <w:u w:val="none"/>
          <w:lang w:val="en-US" w:eastAsia="zh-CN" w:bidi="ar-SA"/>
        </w:rPr>
        <w:t>（七）如货运代理人与委托人/托运人之间形成代理、运输、仓储保管等不同法律关系的，实体部分应分别适用相关的法律规定：</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77" w:name="No89_D4"/>
      <w:bookmarkEnd w:id="77"/>
      <w:r>
        <w:rPr>
          <w:rFonts w:hint="eastAsia" w:ascii="仿宋_GB2312" w:hAnsi="仿宋_GB2312" w:eastAsia="仿宋_GB2312" w:cs="仿宋_GB2312"/>
          <w:color w:val="auto"/>
          <w:kern w:val="2"/>
          <w:sz w:val="32"/>
          <w:szCs w:val="32"/>
          <w:u w:val="none"/>
          <w:lang w:val="en-US" w:eastAsia="zh-CN" w:bidi="ar-SA"/>
        </w:rPr>
        <w:t>（八）海上货运代理合同关系：《民法典》《</w:t>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"https://law.wkinfo.com.cn/document/show?collection=legislation&amp;aid=MTAxMDAwNTcyMzE=&amp;language=%E4%B8%AD%E6%96%87" \t "https://law.wkinfo.com.cn/legislation/detail/_blank"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国际货物运输代理业管理规定</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t>》及其实施细则，《</w:t>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"https://law.wkinfo.com.cn/document/show?collection=legislation&amp;aid=MTAxMDAwMDkyNzA=&amp;language=%E4%B8%AD%E6%96%87" \t "https://law.wkinfo.com.cn/legislation/detail/_blank"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最高人民法院关于审理海上货运代理纠纷案件若干问题的规定</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t>》；</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78" w:name="No90_D4"/>
      <w:bookmarkEnd w:id="78"/>
      <w:r>
        <w:rPr>
          <w:rFonts w:hint="eastAsia" w:ascii="仿宋_GB2312" w:hAnsi="仿宋_GB2312" w:eastAsia="仿宋_GB2312" w:cs="仿宋_GB2312"/>
          <w:color w:val="auto"/>
          <w:kern w:val="2"/>
          <w:sz w:val="32"/>
          <w:szCs w:val="32"/>
          <w:u w:val="none"/>
          <w:lang w:val="en-US" w:eastAsia="zh-CN" w:bidi="ar-SA"/>
        </w:rPr>
        <w:t>（九）海上货物运输合同关系：《</w:t>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"https://law.wkinfo.com.cn/document/show?collection=legislation&amp;aid=MTAwMDAwOTIzNTQ=&amp;language=%E4%B8%AD%E6%96%87" \t "https://law.wkinfo.com.cn/legislation/detail/_blank"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民法典</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t>》《</w:t>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"https://law.wkinfo.com.cn/document/show?collection=legislation&amp;aid=MTAwMDAwMTQ5ODE=&amp;language=%E4%B8%AD%E6%96%87" \t "https://law.wkinfo.com.cn/legislation/detail/_blank"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海商法</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t>》；</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79" w:name="No91_D4"/>
      <w:bookmarkEnd w:id="79"/>
      <w:r>
        <w:rPr>
          <w:rFonts w:hint="eastAsia" w:ascii="仿宋_GB2312" w:hAnsi="仿宋_GB2312" w:eastAsia="仿宋_GB2312" w:cs="仿宋_GB2312"/>
          <w:color w:val="auto"/>
          <w:kern w:val="2"/>
          <w:sz w:val="32"/>
          <w:szCs w:val="32"/>
          <w:u w:val="none"/>
          <w:lang w:val="en-US" w:eastAsia="zh-CN" w:bidi="ar-SA"/>
        </w:rPr>
        <w:t>（十）仓储、保管合同关系：《民法典》；</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80" w:name="No92_D4"/>
      <w:bookmarkEnd w:id="80"/>
      <w:r>
        <w:rPr>
          <w:rFonts w:hint="eastAsia" w:ascii="仿宋_GB2312" w:hAnsi="仿宋_GB2312" w:eastAsia="仿宋_GB2312" w:cs="仿宋_GB2312"/>
          <w:color w:val="auto"/>
          <w:kern w:val="2"/>
          <w:sz w:val="32"/>
          <w:szCs w:val="32"/>
          <w:u w:val="none"/>
          <w:lang w:val="en-US" w:eastAsia="zh-CN" w:bidi="ar-SA"/>
        </w:rPr>
        <w:t>（十一）理货合同关系：《</w:t>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"https://law.wkinfo.com.cn/document/show?collection=legislation&amp;aid=MTAwMDAwOTIzNTQ=&amp;language=%E4%B8%AD%E6%96%87" \t "https://law.wkinfo.com.cn/legislation/detail/_blank"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民法典</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t>》；</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bookmarkStart w:id="81" w:name="No93_D4"/>
      <w:bookmarkEnd w:id="81"/>
      <w:r>
        <w:rPr>
          <w:rFonts w:hint="eastAsia" w:ascii="仿宋_GB2312" w:hAnsi="仿宋_GB2312" w:eastAsia="仿宋_GB2312" w:cs="仿宋_GB2312"/>
          <w:color w:val="auto"/>
          <w:kern w:val="2"/>
          <w:sz w:val="32"/>
          <w:szCs w:val="32"/>
          <w:u w:val="none"/>
          <w:lang w:val="en-US" w:eastAsia="zh-CN" w:bidi="ar-SA"/>
        </w:rPr>
        <w:t>（十二）报关合同关系：《民法典》《</w:t>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"https://law.wkinfo.com.cn/document/show?collection=legislation&amp;aid=MTAxMDAxMjYxOTM=&amp;language=%E4%B8%AD%E6%96%87" \t "https://law.wkinfo.com.cn/legislation/detail/_blank"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海关法</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t>》及海关涉及报关的相关法规、规章。</w:t>
      </w:r>
    </w:p>
    <w:p>
      <w:pPr>
        <w:keepNext w:val="0"/>
        <w:keepLines w:val="0"/>
        <w:kinsoku/>
        <w:wordWrap/>
        <w:overflowPunct/>
        <w:topLinePunct w:val="0"/>
        <w:autoSpaceDE/>
        <w:autoSpaceDN/>
        <w:bidi w:val="0"/>
        <w:adjustRightInd/>
        <w:snapToGrid/>
        <w:spacing w:line="560" w:lineRule="exact"/>
        <w:jc w:val="center"/>
        <w:textAlignment w:val="auto"/>
        <w:outlineLvl w:val="1"/>
        <w:rPr>
          <w:rFonts w:hint="eastAsia" w:ascii="楷体" w:hAnsi="楷体" w:eastAsia="楷体" w:cs="楷体"/>
          <w:b w:val="0"/>
          <w:bCs w:val="0"/>
          <w:sz w:val="32"/>
          <w:szCs w:val="32"/>
          <w:lang w:val="en-US" w:eastAsia="zh-CN"/>
        </w:rPr>
      </w:pPr>
      <w:bookmarkStart w:id="82" w:name="_Toc30906"/>
      <w:r>
        <w:rPr>
          <w:rFonts w:hint="eastAsia" w:ascii="楷体" w:hAnsi="楷体" w:eastAsia="楷体" w:cs="楷体"/>
          <w:b w:val="0"/>
          <w:bCs w:val="0"/>
          <w:sz w:val="32"/>
          <w:szCs w:val="32"/>
          <w:lang w:val="en-US" w:eastAsia="zh-CN"/>
        </w:rPr>
        <w:t>第四节 起诉或应诉</w:t>
      </w:r>
      <w:bookmarkEnd w:id="82"/>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83" w:name="_Toc10730"/>
      <w:r>
        <w:rPr>
          <w:rFonts w:hint="eastAsia" w:ascii="仿宋_GB2312" w:hAnsi="仿宋_GB2312" w:eastAsia="仿宋_GB2312" w:cs="仿宋_GB2312"/>
          <w:b/>
          <w:bCs/>
          <w:color w:val="auto"/>
          <w:kern w:val="2"/>
          <w:sz w:val="32"/>
          <w:szCs w:val="32"/>
          <w:u w:val="none"/>
          <w:lang w:val="en-US" w:eastAsia="zh-CN" w:bidi="ar-SA"/>
        </w:rPr>
        <w:t>第三十九条 起诉状/仲裁申请书</w:t>
      </w:r>
      <w:bookmarkEnd w:id="83"/>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原告方律师应当代为起草起诉状/仲裁申请书并在诉讼时效期间内向法院/仲裁院员会提起诉讼/仲裁，律师代为起草的起诉状/仲裁申请书内容应当经委托人确认。对于已过诉讼时效的案件，如果委托人要求向法院/仲裁院员会提起诉讼/仲裁，律师应当向委托人进行特别说明，告知可能的法律后果，让委托人签署确认书，确认知悉此风险。</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起诉/申请仲裁时需提交起诉状（正本一份、并按照被告人数提交副本）/仲裁申请书（仲裁院一份、对方当事人及仲裁员各一份）、证据目录及证据材料。起诉/仲裁时还需提交证明身份的材料（包括但不限于身份证、营业执照、法定代表人身份证明书、授权委托书等）。</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84" w:name="_Toc28245"/>
      <w:r>
        <w:rPr>
          <w:rFonts w:hint="eastAsia" w:ascii="仿宋_GB2312" w:hAnsi="仿宋_GB2312" w:eastAsia="仿宋_GB2312" w:cs="仿宋_GB2312"/>
          <w:b/>
          <w:bCs/>
          <w:color w:val="auto"/>
          <w:kern w:val="2"/>
          <w:sz w:val="32"/>
          <w:szCs w:val="32"/>
          <w:u w:val="none"/>
          <w:lang w:val="en-US" w:eastAsia="zh-CN" w:bidi="ar-SA"/>
        </w:rPr>
        <w:t>第四十条 财产保全申请</w:t>
      </w:r>
      <w:bookmarkEnd w:id="84"/>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为保障将来的生效</w:t>
      </w:r>
      <w:r>
        <w:rPr>
          <w:rFonts w:hint="eastAsia" w:ascii="仿宋_GB2312" w:hAnsi="仿宋_GB2312" w:eastAsia="仿宋_GB2312" w:cs="仿宋_GB2312"/>
          <w:color w:val="auto"/>
          <w:kern w:val="2"/>
          <w:sz w:val="32"/>
          <w:szCs w:val="32"/>
          <w:u w:val="none"/>
          <w:lang w:val="en-US" w:eastAsia="zh-CN" w:bidi="ar-SA"/>
        </w:rPr>
        <w:fldChar w:fldCharType="begin"/>
      </w:r>
      <w:r>
        <w:rPr>
          <w:rFonts w:hint="eastAsia" w:ascii="仿宋_GB2312" w:hAnsi="仿宋_GB2312" w:eastAsia="仿宋_GB2312" w:cs="仿宋_GB2312"/>
          <w:color w:val="auto"/>
          <w:kern w:val="2"/>
          <w:sz w:val="32"/>
          <w:szCs w:val="32"/>
          <w:u w:val="none"/>
          <w:lang w:val="en-US" w:eastAsia="zh-CN" w:bidi="ar-SA"/>
        </w:rPr>
        <w:instrText xml:space="preserve"> HYPERLINK "https://baike.so.com/doc/6728513-6942797.html" \t "https://baike.so.com/doc/_blank" </w:instrText>
      </w:r>
      <w:r>
        <w:rPr>
          <w:rFonts w:hint="eastAsia" w:ascii="仿宋_GB2312" w:hAnsi="仿宋_GB2312" w:eastAsia="仿宋_GB2312" w:cs="仿宋_GB2312"/>
          <w:color w:val="auto"/>
          <w:kern w:val="2"/>
          <w:sz w:val="32"/>
          <w:szCs w:val="32"/>
          <w:u w:val="none"/>
          <w:lang w:val="en-US" w:eastAsia="zh-CN" w:bidi="ar-SA"/>
        </w:rPr>
        <w:fldChar w:fldCharType="separate"/>
      </w:r>
      <w:r>
        <w:rPr>
          <w:rFonts w:hint="eastAsia" w:ascii="仿宋_GB2312" w:hAnsi="仿宋_GB2312" w:eastAsia="仿宋_GB2312" w:cs="仿宋_GB2312"/>
          <w:color w:val="auto"/>
          <w:kern w:val="2"/>
          <w:sz w:val="32"/>
          <w:szCs w:val="32"/>
          <w:u w:val="none"/>
          <w:lang w:val="en-US" w:eastAsia="zh-CN" w:bidi="ar-SA"/>
        </w:rPr>
        <w:t>判决</w:t>
      </w:r>
      <w:r>
        <w:rPr>
          <w:rFonts w:hint="eastAsia" w:ascii="仿宋_GB2312" w:hAnsi="仿宋_GB2312" w:eastAsia="仿宋_GB2312" w:cs="仿宋_GB2312"/>
          <w:color w:val="auto"/>
          <w:kern w:val="2"/>
          <w:sz w:val="32"/>
          <w:szCs w:val="32"/>
          <w:u w:val="none"/>
          <w:lang w:val="en-US" w:eastAsia="zh-CN" w:bidi="ar-SA"/>
        </w:rPr>
        <w:fldChar w:fldCharType="end"/>
      </w:r>
      <w:r>
        <w:rPr>
          <w:rFonts w:hint="eastAsia" w:ascii="仿宋_GB2312" w:hAnsi="仿宋_GB2312" w:eastAsia="仿宋_GB2312" w:cs="仿宋_GB2312"/>
          <w:color w:val="auto"/>
          <w:kern w:val="2"/>
          <w:sz w:val="32"/>
          <w:szCs w:val="32"/>
          <w:u w:val="none"/>
          <w:lang w:val="en-US" w:eastAsia="zh-CN" w:bidi="ar-SA"/>
        </w:rPr>
        <w:t>能够得到执行或者避免财产遭受损失，对当事人的财产或者争议的标的物，可以向法院/仲裁院提起财产保全申请。财产保全应当提交财产保全申请书，委托人需提供被申请的财产线索，并要提供等额担保，担保可以现金、房产、保函的形式。</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85" w:name="_Toc7695"/>
      <w:r>
        <w:rPr>
          <w:rFonts w:hint="eastAsia" w:ascii="仿宋_GB2312" w:hAnsi="仿宋_GB2312" w:eastAsia="仿宋_GB2312" w:cs="仿宋_GB2312"/>
          <w:b/>
          <w:bCs/>
          <w:color w:val="auto"/>
          <w:kern w:val="2"/>
          <w:sz w:val="32"/>
          <w:szCs w:val="32"/>
          <w:u w:val="none"/>
          <w:lang w:val="en-US" w:eastAsia="zh-CN" w:bidi="ar-SA"/>
        </w:rPr>
        <w:t>第四十一条 诉前财产保全</w:t>
      </w:r>
      <w:bookmarkEnd w:id="85"/>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如采取诉前财产保全，仅限给付之诉，并需达到情况紧急的程度，法院采取保全措施后15日内必须提起起诉。</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86" w:name="_Toc18722"/>
      <w:r>
        <w:rPr>
          <w:rFonts w:hint="eastAsia" w:ascii="仿宋_GB2312" w:hAnsi="仿宋_GB2312" w:eastAsia="仿宋_GB2312" w:cs="仿宋_GB2312"/>
          <w:b/>
          <w:bCs/>
          <w:color w:val="auto"/>
          <w:kern w:val="2"/>
          <w:sz w:val="32"/>
          <w:szCs w:val="32"/>
          <w:u w:val="none"/>
          <w:lang w:val="en-US" w:eastAsia="zh-CN" w:bidi="ar-SA"/>
        </w:rPr>
        <w:t>第四十二条 诉讼/仲裁费</w:t>
      </w:r>
      <w:bookmarkEnd w:id="86"/>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在接到法院/仲裁院员会的受理案件通知书后，律师应当通知委托人及时交纳诉讼/仲裁费，并告知逾期缴纳费用相应的法律后果。</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87" w:name="_Toc17814"/>
      <w:r>
        <w:rPr>
          <w:rFonts w:hint="eastAsia" w:ascii="仿宋_GB2312" w:hAnsi="仿宋_GB2312" w:eastAsia="仿宋_GB2312" w:cs="仿宋_GB2312"/>
          <w:b/>
          <w:bCs/>
          <w:color w:val="auto"/>
          <w:kern w:val="2"/>
          <w:sz w:val="32"/>
          <w:szCs w:val="32"/>
          <w:u w:val="none"/>
          <w:lang w:val="en-US" w:eastAsia="zh-CN" w:bidi="ar-SA"/>
        </w:rPr>
        <w:t>第四十三条 举证</w:t>
      </w:r>
      <w:bookmarkEnd w:id="87"/>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接受被告方委托后，律师应当在收到法院/仲裁院员会的举证通知书规定的期限内提交证据、答辩状。被告方律师应认真分析案情、调取证据，做好答辩准备，并代为起草答辩状，针对原告诉讼请求、事实和理由，陈述答辩的事实，提出明确的答辩主张并阐明相应的理由和法律依据。如有必要，还应随答辩状提交支持答辩理由的相关证据。如需延期，应在规定期间内向法院/仲裁院员会提交书面延期答辩、延期举证申请。如在接受委托时已经超过法院/仲裁院员会的举证通知书规定的期限，应当向委托人告知相应的法律后果。</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88" w:name="_Toc4575"/>
      <w:r>
        <w:rPr>
          <w:rFonts w:hint="eastAsia" w:ascii="仿宋_GB2312" w:hAnsi="仿宋_GB2312" w:eastAsia="仿宋_GB2312" w:cs="仿宋_GB2312"/>
          <w:b/>
          <w:bCs/>
          <w:color w:val="auto"/>
          <w:kern w:val="2"/>
          <w:sz w:val="32"/>
          <w:szCs w:val="32"/>
          <w:u w:val="none"/>
          <w:lang w:val="en-US" w:eastAsia="zh-CN" w:bidi="ar-SA"/>
        </w:rPr>
        <w:t>第四十四条  管辖异议</w:t>
      </w:r>
      <w:bookmarkEnd w:id="88"/>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被告方律师经初步审查，认为案件不属于受诉法院/仲裁院员会管辖的，应及时告知被告方可以在法院/仲裁院员会指定的答辩期间内提出书面管辖权异议。</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89" w:name="_Toc30729"/>
      <w:r>
        <w:rPr>
          <w:rFonts w:hint="eastAsia" w:ascii="仿宋_GB2312" w:hAnsi="仿宋_GB2312" w:eastAsia="仿宋_GB2312" w:cs="仿宋_GB2312"/>
          <w:b/>
          <w:bCs/>
          <w:color w:val="auto"/>
          <w:kern w:val="2"/>
          <w:sz w:val="32"/>
          <w:szCs w:val="32"/>
          <w:u w:val="none"/>
          <w:lang w:val="en-US" w:eastAsia="zh-CN" w:bidi="ar-SA"/>
        </w:rPr>
        <w:t>第四十五条 反诉/反请求</w:t>
      </w:r>
      <w:bookmarkEnd w:id="89"/>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被告方律师经初步审查，认为案件可以提起反诉/反请求的，应当及时告知委托人，征求委托人同意，在规定期限内代为提起反诉/反请求。</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90" w:name="_Toc29865"/>
      <w:r>
        <w:rPr>
          <w:rFonts w:hint="eastAsia" w:ascii="仿宋_GB2312" w:hAnsi="仿宋_GB2312" w:eastAsia="仿宋_GB2312" w:cs="仿宋_GB2312"/>
          <w:b/>
          <w:bCs/>
          <w:color w:val="auto"/>
          <w:kern w:val="2"/>
          <w:sz w:val="32"/>
          <w:szCs w:val="32"/>
          <w:u w:val="none"/>
          <w:lang w:val="en-US" w:eastAsia="zh-CN" w:bidi="ar-SA"/>
        </w:rPr>
        <w:t>第四十六条 调查、收集证据材料</w:t>
      </w:r>
      <w:bookmarkEnd w:id="90"/>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应当根据案情审核委托人提交的证据材料，并协助委托人依法调查、收集证据材料。律师应当调查、收集与案件有关的材料，收集证据应当合法、客观、全面，不得伪造、变造证据，不得威胁、利诱他人提供虚假证据，不得妨碍对方当事人合法取得证据，不得协助或诱导当事人伪造证据。</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律师向委托人收集证据时，应当要求委托人提供其所知情的一切案件事实，并提供证据或证据线索。对委托人陈述的事实，可以制作谈话笔录。</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律师调查取证应当取得证据的原物、原件，或者经过公证与原物、原件核对无误的复制品，并明确其来源。</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91" w:name="_Toc225"/>
      <w:r>
        <w:rPr>
          <w:rFonts w:hint="eastAsia" w:ascii="仿宋_GB2312" w:hAnsi="仿宋_GB2312" w:eastAsia="仿宋_GB2312" w:cs="仿宋_GB2312"/>
          <w:b/>
          <w:bCs/>
          <w:color w:val="auto"/>
          <w:kern w:val="2"/>
          <w:sz w:val="32"/>
          <w:szCs w:val="32"/>
          <w:u w:val="none"/>
          <w:lang w:val="en-US" w:eastAsia="zh-CN" w:bidi="ar-SA"/>
        </w:rPr>
        <w:t>第四十七条 调查取证</w:t>
      </w:r>
      <w:bookmarkEnd w:id="91"/>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向证人调查取证应取得证人的书面证言。证人证言应当载明证人的身份、与本案当事人的关系、所要证明的事实。证人应当在证言的结尾特别载明其已知晓伪证的法律责任并保证证言中的陈述属实。证人证言附上证人的身份证明材料，由证人签名、盖章或者按指纹确认。如证人为外籍人士，还应当为其办理证明身份及签名真实性的相关公证手续。</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证人应当出庭作证。有下列情形之一的，经人民法院许可，可以通过书面证言、视听传输技术或者视听资料等方式作证：</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（一）因健康原因不能出庭的；</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（二）因路途遥远，交通不便不能出庭的；</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（三）因自然灾害等不可抗力不能出庭的；</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（四）其他有正当理由不能出庭的。</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92" w:name="_Toc7198"/>
      <w:r>
        <w:rPr>
          <w:rFonts w:hint="eastAsia" w:ascii="仿宋_GB2312" w:hAnsi="仿宋_GB2312" w:eastAsia="仿宋_GB2312" w:cs="仿宋_GB2312"/>
          <w:b/>
          <w:bCs/>
          <w:color w:val="auto"/>
          <w:kern w:val="2"/>
          <w:sz w:val="32"/>
          <w:szCs w:val="32"/>
          <w:u w:val="none"/>
          <w:lang w:val="en-US" w:eastAsia="zh-CN" w:bidi="ar-SA"/>
        </w:rPr>
        <w:t>第四十八条 证明材料</w:t>
      </w:r>
      <w:bookmarkEnd w:id="92"/>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有关单位出具的证明材料，应由该单位加盖单位印章。</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93" w:name="_Toc25499"/>
      <w:r>
        <w:rPr>
          <w:rFonts w:hint="eastAsia" w:ascii="仿宋_GB2312" w:hAnsi="仿宋_GB2312" w:eastAsia="仿宋_GB2312" w:cs="仿宋_GB2312"/>
          <w:b/>
          <w:bCs/>
          <w:color w:val="auto"/>
          <w:kern w:val="2"/>
          <w:sz w:val="32"/>
          <w:szCs w:val="32"/>
          <w:u w:val="none"/>
          <w:lang w:val="en-US" w:eastAsia="zh-CN" w:bidi="ar-SA"/>
        </w:rPr>
        <w:t>第四十九条 制作调查笔录</w:t>
      </w:r>
      <w:bookmarkEnd w:id="93"/>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调查、收集与本案有关的材料，可以制作调查笔录。调查笔录应当载明调查人、被调查人、被调查人与本案当事人的关系、调查时间、调查地点、调查内容、记录人等基本情况。调查笔录制作完毕后，应交由被调查人阅读或者向其宣读，并由调查人、被调查人、记录人签名、盖章或者按指纹确认。被调查人应在签署调查笔录的同时，特别载明笔录内容与本人的陈述一致。</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94" w:name="_Toc16563"/>
      <w:r>
        <w:rPr>
          <w:rFonts w:hint="eastAsia" w:ascii="仿宋_GB2312" w:hAnsi="仿宋_GB2312" w:eastAsia="仿宋_GB2312" w:cs="仿宋_GB2312"/>
          <w:b/>
          <w:bCs/>
          <w:color w:val="auto"/>
          <w:kern w:val="2"/>
          <w:sz w:val="32"/>
          <w:szCs w:val="32"/>
          <w:u w:val="none"/>
          <w:lang w:val="en-US" w:eastAsia="zh-CN" w:bidi="ar-SA"/>
        </w:rPr>
        <w:t>第五十条 申请调查取证</w:t>
      </w:r>
      <w:bookmarkEnd w:id="94"/>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律师依法依规还可向证人、对方当事人、国家机关等调查取证，委托人和律师因客观原因无法自行收集的证据，律师应在举证期限届满前书面向法院申请调查取证。</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95" w:name="_Toc10096"/>
      <w:r>
        <w:rPr>
          <w:rFonts w:hint="eastAsia" w:ascii="仿宋_GB2312" w:hAnsi="仿宋_GB2312" w:eastAsia="仿宋_GB2312" w:cs="仿宋_GB2312"/>
          <w:b/>
          <w:bCs/>
          <w:color w:val="auto"/>
          <w:kern w:val="2"/>
          <w:sz w:val="32"/>
          <w:szCs w:val="32"/>
          <w:u w:val="none"/>
          <w:lang w:val="en-US" w:eastAsia="zh-CN" w:bidi="ar-SA"/>
        </w:rPr>
        <w:t>第五十一条 调查取证辅助</w:t>
      </w:r>
      <w:bookmarkEnd w:id="95"/>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需要勘验、鉴定物证或者现场的，律师应当及时建议委托人聘请有资质的专业检验人员、专家辅助人、鉴定机构，或者在举证期限内向法院申请进行勘验、鉴定。</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对于境外形成的证据，关于身份证明文件和授权文件须由所在国公证机关予以证明，并经我国驻该国使领馆予以认证，方具有证据形式上的效力，是否需要转递，由证据形成地与我国的相关双边规定予以确定；外文需翻译成中文。</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96" w:name="_Toc28443"/>
      <w:r>
        <w:rPr>
          <w:rFonts w:hint="eastAsia" w:ascii="仿宋_GB2312" w:hAnsi="仿宋_GB2312" w:eastAsia="仿宋_GB2312" w:cs="仿宋_GB2312"/>
          <w:b/>
          <w:bCs/>
          <w:color w:val="auto"/>
          <w:kern w:val="2"/>
          <w:sz w:val="32"/>
          <w:szCs w:val="32"/>
          <w:u w:val="none"/>
          <w:lang w:val="en-US" w:eastAsia="zh-CN" w:bidi="ar-SA"/>
        </w:rPr>
        <w:t>第五十二条 申请保全证据</w:t>
      </w:r>
      <w:bookmarkEnd w:id="96"/>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在证据可能灭失或者以后难以取得的情况下，律师可以在诉讼/仲裁过程中向人民法院/仲裁院申请保全证据。</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97" w:name="_Toc678"/>
      <w:r>
        <w:rPr>
          <w:rFonts w:hint="eastAsia" w:ascii="仿宋_GB2312" w:hAnsi="仿宋_GB2312" w:eastAsia="仿宋_GB2312" w:cs="仿宋_GB2312"/>
          <w:b/>
          <w:bCs/>
          <w:color w:val="auto"/>
          <w:kern w:val="2"/>
          <w:sz w:val="32"/>
          <w:szCs w:val="32"/>
          <w:u w:val="none"/>
          <w:lang w:val="en-US" w:eastAsia="zh-CN" w:bidi="ar-SA"/>
        </w:rPr>
        <w:t>第五十三条 证据的整理和提交</w:t>
      </w:r>
      <w:bookmarkEnd w:id="97"/>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无单放货纠纷的证据材料，主要包括：全套正本提单、出口报关单、信用证、贸易合同及其发票、装箱单、送货交接单、货款支付方面的单据、往来函件证明货物已提取或收到或被不凭正本提单提取、无法提取货物的证明材料、涉案货物价值的证据材料等；</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二）追索运费及包干费纠纷的证据材料，主要包括：货物出运委托书、订舱单、提单（副本或复印件）、海关进（出）口货物报关单、运费、包干费等确认函、运费凭证及海运费发票（包括海运费清单）、发票等；</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三）货损货差纠纷的证据材料，主要包括：货物出口委托书、装箱单、集装箱设备交接单、海关进（出）口货物报关单、贸易合同和贸易发票、理货报告、商检证书（报告）、货损检验报告、海事报告（签证）等；</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四）不签发货运提单的货运代理纠纷的证据材料，主要包括：货运委托书（托书）、出口货物明细单、报关委托书、报检委托书、海运费、包干费等费用的报价单、确认书、装箱单、报关单、商检证书（报告）、动植物检验、检疫证书、订舱单、进仓通知单、收货单、提单确认件、提单及提单交付的签收单、运费、包干费发票（国际货物运输代理业专用发票）、运费、包干费付款凭证、货物延迟交付证明、货物损坏、短少、灭失证明、商检报告、有关案件有往来传真、函电、电子邮件等。</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98" w:name="_Toc11733"/>
      <w:r>
        <w:rPr>
          <w:rFonts w:hint="eastAsia" w:ascii="仿宋_GB2312" w:hAnsi="仿宋_GB2312" w:eastAsia="仿宋_GB2312" w:cs="仿宋_GB2312"/>
          <w:b/>
          <w:bCs/>
          <w:color w:val="auto"/>
          <w:kern w:val="2"/>
          <w:sz w:val="32"/>
          <w:szCs w:val="32"/>
          <w:u w:val="none"/>
          <w:lang w:val="en-US" w:eastAsia="zh-CN" w:bidi="ar-SA"/>
        </w:rPr>
        <w:t>第五十四条 参加庭审</w:t>
      </w:r>
      <w:bookmarkEnd w:id="98"/>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接到法院/仲裁院的开庭通知后，应当及时通知委托人并征询其是否出庭参加庭审/仲裁的意见，律师应当准时参加庭审/仲裁。案件开庭日期如与其他案件已经安排在先的开庭日期冲突的，律师应当向法院/仲裁院申请改期。如委托人参加庭审的，律师应在开庭前提醒委托人携带身份证明手续并准时到庭。</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99" w:name="_Toc19079"/>
      <w:r>
        <w:rPr>
          <w:rFonts w:hint="eastAsia" w:ascii="仿宋_GB2312" w:hAnsi="仿宋_GB2312" w:eastAsia="仿宋_GB2312" w:cs="仿宋_GB2312"/>
          <w:b/>
          <w:bCs/>
          <w:color w:val="auto"/>
          <w:kern w:val="2"/>
          <w:sz w:val="32"/>
          <w:szCs w:val="32"/>
          <w:u w:val="none"/>
          <w:lang w:val="en-US" w:eastAsia="zh-CN" w:bidi="ar-SA"/>
        </w:rPr>
        <w:t>第五十五条 回避申请</w:t>
      </w:r>
      <w:bookmarkEnd w:id="99"/>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（一）开庭前，律师应征求委托人是否对合议庭组成人员/仲裁员提出回避申请以及有无提出回避申请的理由。</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（二）律师发现合议庭组成人员/仲裁员存在以下情况的，应当提出回避申请：</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1.是本案当事人或者当事人、诉讼代理人近亲属的；</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2.与本案有利害关系的；</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3.与本案当事人、诉讼代理人有其他关系，可能影响对案件公正审理的。</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4.接受当事人、诉讼代理人请客送礼，或者违反规定会见当事人、诉讼代理人的。</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00" w:name="_Toc27299"/>
      <w:r>
        <w:rPr>
          <w:rFonts w:hint="eastAsia" w:ascii="仿宋_GB2312" w:hAnsi="仿宋_GB2312" w:eastAsia="仿宋_GB2312" w:cs="仿宋_GB2312"/>
          <w:b/>
          <w:bCs/>
          <w:color w:val="auto"/>
          <w:kern w:val="2"/>
          <w:sz w:val="32"/>
          <w:szCs w:val="32"/>
          <w:u w:val="none"/>
          <w:lang w:val="en-US" w:eastAsia="zh-CN" w:bidi="ar-SA"/>
        </w:rPr>
        <w:t>第五十六条 开庭准备</w:t>
      </w:r>
      <w:bookmarkEnd w:id="100"/>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律师应当根据有关案件材料做好开庭准备，确认诉讼请求/仲裁申请有无变更、准备陈述意见或答辩意见、举证意见或质证意见、向证人发问的提纲、最后陈述意见等。</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01" w:name="_Toc29930"/>
      <w:r>
        <w:rPr>
          <w:rFonts w:hint="eastAsia" w:ascii="仿宋_GB2312" w:hAnsi="仿宋_GB2312" w:eastAsia="仿宋_GB2312" w:cs="仿宋_GB2312"/>
          <w:b/>
          <w:bCs/>
          <w:color w:val="auto"/>
          <w:kern w:val="2"/>
          <w:sz w:val="32"/>
          <w:szCs w:val="32"/>
          <w:u w:val="none"/>
          <w:lang w:val="en-US" w:eastAsia="zh-CN" w:bidi="ar-SA"/>
        </w:rPr>
        <w:t>第五十七条 证人出庭</w:t>
      </w:r>
      <w:bookmarkEnd w:id="101"/>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如需证人出庭作证的，应于庭审前通知证人出庭时间、出庭准备（携带身份证明文件、证据原件等），并告知其作证及回答问题应注意的事项，告知其不可虚假陈述。</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02" w:name="_Toc28337"/>
      <w:r>
        <w:rPr>
          <w:rFonts w:hint="eastAsia" w:ascii="仿宋_GB2312" w:hAnsi="仿宋_GB2312" w:eastAsia="仿宋_GB2312" w:cs="仿宋_GB2312"/>
          <w:b/>
          <w:bCs/>
          <w:color w:val="auto"/>
          <w:kern w:val="2"/>
          <w:sz w:val="32"/>
          <w:szCs w:val="32"/>
          <w:u w:val="none"/>
          <w:lang w:val="en-US" w:eastAsia="zh-CN" w:bidi="ar-SA"/>
        </w:rPr>
        <w:t>第五十八条 参加诉讼/仲裁要求</w:t>
      </w:r>
      <w:bookmarkEnd w:id="102"/>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律师出庭参加诉讼/仲裁，应遵守法庭/仲裁庭规则和法庭/仲裁庭秩序。</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出庭参加诉讼/仲裁，必须按规定出示律师执业证，提交与授权委托书（原件）和与执业证一致的律师事务所所函（原件）。律师出庭应规范着装，外着律师袍，上穿浅色衬衣，戴领结，下穿深色西装裤/裙、深色皮鞋。</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03" w:name="_Toc28212"/>
      <w:r>
        <w:rPr>
          <w:rFonts w:hint="eastAsia" w:ascii="仿宋_GB2312" w:hAnsi="仿宋_GB2312" w:eastAsia="仿宋_GB2312" w:cs="仿宋_GB2312"/>
          <w:b/>
          <w:bCs/>
          <w:color w:val="auto"/>
          <w:kern w:val="2"/>
          <w:sz w:val="32"/>
          <w:szCs w:val="32"/>
          <w:u w:val="none"/>
          <w:lang w:val="en-US" w:eastAsia="zh-CN" w:bidi="ar-SA"/>
        </w:rPr>
        <w:t>第五十九条 核对到庭当事人身份</w:t>
      </w:r>
      <w:bookmarkEnd w:id="103"/>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法庭/仲裁庭在核对到庭当事人身份时，律师有权对对方当事人及其代理人的身份提出异议。</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04" w:name="_Toc17688"/>
      <w:r>
        <w:rPr>
          <w:rFonts w:hint="eastAsia" w:ascii="仿宋_GB2312" w:hAnsi="仿宋_GB2312" w:eastAsia="仿宋_GB2312" w:cs="仿宋_GB2312"/>
          <w:b/>
          <w:bCs/>
          <w:color w:val="auto"/>
          <w:kern w:val="2"/>
          <w:sz w:val="32"/>
          <w:szCs w:val="32"/>
          <w:u w:val="none"/>
          <w:lang w:val="en-US" w:eastAsia="zh-CN" w:bidi="ar-SA"/>
        </w:rPr>
        <w:t>第六十条 法庭调查</w:t>
      </w:r>
      <w:bookmarkEnd w:id="104"/>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法庭调查开始后，原告律师应简要陈述诉讼/仲裁请求和依据的事实与理由，有无变更或补充；被告律师应陈述反驳事实和理由，提起反诉/反请求的，讲明具体请求和理由。</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05" w:name="_Toc11347"/>
      <w:r>
        <w:rPr>
          <w:rFonts w:hint="eastAsia" w:ascii="仿宋_GB2312" w:hAnsi="仿宋_GB2312" w:eastAsia="仿宋_GB2312" w:cs="仿宋_GB2312"/>
          <w:b/>
          <w:bCs/>
          <w:color w:val="auto"/>
          <w:kern w:val="2"/>
          <w:sz w:val="32"/>
          <w:szCs w:val="32"/>
          <w:u w:val="none"/>
          <w:lang w:val="en-US" w:eastAsia="zh-CN" w:bidi="ar-SA"/>
        </w:rPr>
        <w:t>第六十一条 举证、质证注意事项</w:t>
      </w:r>
      <w:bookmarkEnd w:id="105"/>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原告律师应做好举证工作，举证应当注意对证据的审查和筛选，要充分考虑证据的来源、合法性、客观性和关联性，应尽量出示原件，传真件、复印件在具备一定证明效力情况下，可作为辅助证据使用；被告律师在庭审质证时，应当结合证据是否超过举证期限及证据的真实性、合法性、关联性发表意见。律师应注意：即使认为对方所举证据超过举证期限，律师仍应对证据发表看法并声明不视为同意质证。</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06" w:name="_Toc11865"/>
      <w:r>
        <w:rPr>
          <w:rFonts w:hint="eastAsia" w:ascii="仿宋_GB2312" w:hAnsi="仿宋_GB2312" w:eastAsia="仿宋_GB2312" w:cs="仿宋_GB2312"/>
          <w:b/>
          <w:bCs/>
          <w:color w:val="auto"/>
          <w:kern w:val="2"/>
          <w:sz w:val="32"/>
          <w:szCs w:val="32"/>
          <w:u w:val="none"/>
          <w:lang w:val="en-US" w:eastAsia="zh-CN" w:bidi="ar-SA"/>
        </w:rPr>
        <w:t>第六十二条 提出修改及补充意见</w:t>
      </w:r>
      <w:bookmarkEnd w:id="106"/>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律师认为法庭/仲裁庭归纳的争议焦点有遗漏或者错误时，或认为对委托人有利的事实而庭审没有查明的，可以通过向对方发问或补充陈述的方式向法庭/仲裁庭进行阐明，及时提出修改和补充意见。</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07" w:name="_Toc20177"/>
      <w:r>
        <w:rPr>
          <w:rFonts w:hint="eastAsia" w:ascii="仿宋_GB2312" w:hAnsi="仿宋_GB2312" w:eastAsia="仿宋_GB2312" w:cs="仿宋_GB2312"/>
          <w:b/>
          <w:bCs/>
          <w:color w:val="auto"/>
          <w:kern w:val="2"/>
          <w:sz w:val="32"/>
          <w:szCs w:val="32"/>
          <w:u w:val="none"/>
          <w:lang w:val="en-US" w:eastAsia="zh-CN" w:bidi="ar-SA"/>
        </w:rPr>
        <w:t>第六十三条 庭审记录</w:t>
      </w:r>
      <w:bookmarkEnd w:id="107"/>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在法庭调查过程中，律师应当认真做好庭审记录，一方面可通过记录随时调整庭前准备的各项提纲、答辩重点，一方面便于庭后向委托人总结汇报。</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08" w:name="_Toc20671"/>
      <w:r>
        <w:rPr>
          <w:rFonts w:hint="eastAsia" w:ascii="仿宋_GB2312" w:hAnsi="仿宋_GB2312" w:eastAsia="仿宋_GB2312" w:cs="仿宋_GB2312"/>
          <w:b/>
          <w:bCs/>
          <w:color w:val="auto"/>
          <w:kern w:val="2"/>
          <w:sz w:val="32"/>
          <w:szCs w:val="32"/>
          <w:u w:val="none"/>
          <w:lang w:val="en-US" w:eastAsia="zh-CN" w:bidi="ar-SA"/>
        </w:rPr>
        <w:t>第六十四条 核对庭审记录</w:t>
      </w:r>
      <w:bookmarkEnd w:id="108"/>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庭审结束后，律师对庭审笔录应当仔细核对，对记录错误或少记、漏记的，应立即提出补正并在旁边签名，同时在笔录后面签署日期和留下联系电话。</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09" w:name="_Toc23591"/>
      <w:r>
        <w:rPr>
          <w:rFonts w:hint="eastAsia" w:ascii="仿宋_GB2312" w:hAnsi="仿宋_GB2312" w:eastAsia="仿宋_GB2312" w:cs="仿宋_GB2312"/>
          <w:b/>
          <w:bCs/>
          <w:color w:val="auto"/>
          <w:kern w:val="2"/>
          <w:sz w:val="32"/>
          <w:szCs w:val="32"/>
          <w:u w:val="none"/>
          <w:lang w:val="en-US" w:eastAsia="zh-CN" w:bidi="ar-SA"/>
        </w:rPr>
        <w:t>第六十五条 提交代理词、补充证据</w:t>
      </w:r>
      <w:bookmarkEnd w:id="109"/>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休庭后，律师应按法庭/仲裁庭要求及时提交代理词、补充证据。</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10" w:name="_Toc5323"/>
      <w:r>
        <w:rPr>
          <w:rFonts w:hint="eastAsia" w:ascii="仿宋_GB2312" w:hAnsi="仿宋_GB2312" w:eastAsia="仿宋_GB2312" w:cs="仿宋_GB2312"/>
          <w:b/>
          <w:bCs/>
          <w:color w:val="auto"/>
          <w:kern w:val="2"/>
          <w:sz w:val="32"/>
          <w:szCs w:val="32"/>
          <w:u w:val="none"/>
          <w:lang w:val="en-US" w:eastAsia="zh-CN" w:bidi="ar-SA"/>
        </w:rPr>
        <w:t>第六十六条 送达</w:t>
      </w:r>
      <w:bookmarkEnd w:id="110"/>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收到法院/仲裁院的裁决文书后，应当及时当面或按约定的地址及方式向委托人送达。属人民法院管辖的案件收到判决书的同时律师应征询委托人是否上诉并提醒上诉的期限，送达回证应妥善保管并在结案后归档。属仲裁委员会管辖的案件，裁决书自作出之日起发生法律效力。</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11" w:name="_Toc28406"/>
      <w:r>
        <w:rPr>
          <w:rFonts w:hint="eastAsia" w:ascii="仿宋_GB2312" w:hAnsi="仿宋_GB2312" w:eastAsia="仿宋_GB2312" w:cs="仿宋_GB2312"/>
          <w:b/>
          <w:bCs/>
          <w:color w:val="auto"/>
          <w:kern w:val="2"/>
          <w:sz w:val="32"/>
          <w:szCs w:val="32"/>
          <w:u w:val="none"/>
          <w:lang w:val="en-US" w:eastAsia="zh-CN" w:bidi="ar-SA"/>
        </w:rPr>
        <w:t>第六十七条 上诉</w:t>
      </w:r>
      <w:bookmarkEnd w:id="111"/>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应为委托人分析判决书认定事实是否清楚、完整，证据是否充分、确凿，适用法律是否得当，有无程序违法的情况等，给予委托人是否上诉的建议，并分析有无上诉的必要及上诉的风险、告知二审的证据规则等。委托人决定上诉的，律师应代为草拟上诉状，上诉状的内容，应当包括当事人的姓名，法人的名称及其法定代表人的姓名或者其他组织的名称及其主要负责人的姓名；原审人民法院名称、案件的编号和案由；上诉的请求和理由，上诉状应当通过原审人民法院提出，并按照对方当事人或者代表人的人数提出副本。</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12" w:name="_Toc22046"/>
      <w:r>
        <w:rPr>
          <w:rFonts w:hint="eastAsia" w:ascii="仿宋_GB2312" w:hAnsi="仿宋_GB2312" w:eastAsia="仿宋_GB2312" w:cs="仿宋_GB2312"/>
          <w:b/>
          <w:bCs/>
          <w:color w:val="auto"/>
          <w:kern w:val="2"/>
          <w:sz w:val="32"/>
          <w:szCs w:val="32"/>
          <w:u w:val="none"/>
          <w:lang w:val="en-US" w:eastAsia="zh-CN" w:bidi="ar-SA"/>
        </w:rPr>
        <w:t>第六十八条 申请撤销裁决</w:t>
      </w:r>
      <w:bookmarkEnd w:id="112"/>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律师应为委托人分析仲裁裁决书是否存在以下情形，如确有证据证明存在以下情形的，应当建议委托人向仲裁委员会所在地的中级人民法院申请撤销裁决：</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（一）没有仲裁协议的;</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（二）裁决的事项不属于仲裁协议的范围或者仲裁委员会无权仲裁的;</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（三）仲裁庭的组成或者仲裁的程序违反法定程序的;</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（四）裁决所根据的证据是伪造的;</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（五）对方当事人隐瞒了足以影响公正裁决的证据的;</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（六）仲裁员在仲裁该案时有索贿受贿，徇私舞弊，枉法裁决行为的。</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申请撤销裁决的，应当自收到裁决书之日起六个月内提出。</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13" w:name="_Toc31195"/>
      <w:r>
        <w:rPr>
          <w:rFonts w:hint="eastAsia" w:ascii="仿宋_GB2312" w:hAnsi="仿宋_GB2312" w:eastAsia="仿宋_GB2312" w:cs="仿宋_GB2312"/>
          <w:b/>
          <w:bCs/>
          <w:color w:val="auto"/>
          <w:kern w:val="2"/>
          <w:sz w:val="32"/>
          <w:szCs w:val="32"/>
          <w:u w:val="none"/>
          <w:lang w:val="en-US" w:eastAsia="zh-CN" w:bidi="ar-SA"/>
        </w:rPr>
        <w:t>第六十九条 上诉费</w:t>
      </w:r>
      <w:bookmarkEnd w:id="113"/>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上诉方律师应告知委托人按照法院的要求及时缴纳上诉费用。</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14" w:name="_Toc5236"/>
      <w:r>
        <w:rPr>
          <w:rFonts w:hint="eastAsia" w:ascii="仿宋_GB2312" w:hAnsi="仿宋_GB2312" w:eastAsia="仿宋_GB2312" w:cs="仿宋_GB2312"/>
          <w:b/>
          <w:bCs/>
          <w:color w:val="auto"/>
          <w:kern w:val="2"/>
          <w:sz w:val="32"/>
          <w:szCs w:val="32"/>
          <w:u w:val="none"/>
          <w:lang w:val="en-US" w:eastAsia="zh-CN" w:bidi="ar-SA"/>
        </w:rPr>
        <w:t>第七十条 上诉答辩状</w:t>
      </w:r>
      <w:bookmarkEnd w:id="114"/>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被上诉方律师应当在法院规定的期间内向法院提交上诉答辩状。</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15" w:name="_Toc16109"/>
      <w:r>
        <w:rPr>
          <w:rFonts w:hint="eastAsia" w:ascii="仿宋_GB2312" w:hAnsi="仿宋_GB2312" w:eastAsia="仿宋_GB2312" w:cs="仿宋_GB2312"/>
          <w:b/>
          <w:bCs/>
          <w:color w:val="auto"/>
          <w:kern w:val="2"/>
          <w:sz w:val="32"/>
          <w:szCs w:val="32"/>
          <w:u w:val="none"/>
          <w:lang w:val="en-US" w:eastAsia="zh-CN" w:bidi="ar-SA"/>
        </w:rPr>
        <w:t>第七十一条 二审证据</w:t>
      </w:r>
      <w:bookmarkEnd w:id="115"/>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代理二审案件的，应当根据一审情况，及时做好证据补救工作，尽量收集并提交支持本方主张的新证据。对二审法院作出不开庭审理的，如律师认为应当开庭审理，可书面提交开庭申请。对二审法院认为应当开庭审理的，律师应当做好出庭准备工作。</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16" w:name="_Toc28073"/>
      <w:r>
        <w:rPr>
          <w:rFonts w:hint="eastAsia" w:ascii="仿宋_GB2312" w:hAnsi="仿宋_GB2312" w:eastAsia="仿宋_GB2312" w:cs="仿宋_GB2312"/>
          <w:b/>
          <w:bCs/>
          <w:color w:val="auto"/>
          <w:kern w:val="2"/>
          <w:sz w:val="32"/>
          <w:szCs w:val="32"/>
          <w:u w:val="none"/>
          <w:lang w:val="en-US" w:eastAsia="zh-CN" w:bidi="ar-SA"/>
        </w:rPr>
        <w:t>第七十二条 二审判决</w:t>
      </w:r>
      <w:bookmarkEnd w:id="116"/>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二审判决后，律师应将判决书及时送达给委托人并就判决书所确定的义务的履行方法等向委托人进行说明，同时注重与委托人的沟通、解释工作，努力做好委托人的服判工作，以维护法律的尊严等。</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17" w:name="_Toc16427"/>
      <w:r>
        <w:rPr>
          <w:rFonts w:hint="eastAsia" w:ascii="仿宋_GB2312" w:hAnsi="仿宋_GB2312" w:eastAsia="仿宋_GB2312" w:cs="仿宋_GB2312"/>
          <w:b/>
          <w:bCs/>
          <w:color w:val="auto"/>
          <w:kern w:val="2"/>
          <w:sz w:val="32"/>
          <w:szCs w:val="32"/>
          <w:u w:val="none"/>
          <w:lang w:val="en-US" w:eastAsia="zh-CN" w:bidi="ar-SA"/>
        </w:rPr>
        <w:t>第七十三条 二审判决后救济途径</w:t>
      </w:r>
      <w:bookmarkEnd w:id="117"/>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若二审判决确有不妥之处，律师应当告知委托人依法申请再审或向人民检察院提出申诉，同时要告知二审判决书签收的具体时间及提起再审的最后期限，在将二审判决书转交委托人时应让委托人签收。在委托人签收后，律师应将签收回执附卷留存。</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18" w:name="_Toc12530"/>
      <w:r>
        <w:rPr>
          <w:rFonts w:hint="eastAsia" w:ascii="仿宋_GB2312" w:hAnsi="仿宋_GB2312" w:eastAsia="仿宋_GB2312" w:cs="仿宋_GB2312"/>
          <w:b/>
          <w:bCs/>
          <w:color w:val="auto"/>
          <w:kern w:val="2"/>
          <w:sz w:val="32"/>
          <w:szCs w:val="32"/>
          <w:u w:val="none"/>
          <w:lang w:val="en-US" w:eastAsia="zh-CN" w:bidi="ar-SA"/>
        </w:rPr>
        <w:t>第七十四条  再审注意事项</w:t>
      </w:r>
      <w:bookmarkEnd w:id="118"/>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律师接受再审当事人的委托后，应当及时研究案卷材料，对于已经生效的判决、裁定书，律师应着重审查以下内容：</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（一）是否有新的证据、足以推翻原判决、裁定；</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（二）原判决、裁定认定事实的主要证据是否充足；</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（三）原判决、裁定适用法律是否正确；</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（四）法院是否违反法定程序，可能影响案件正确判决、裁定；</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（五）审判人员在审理案件时是否贪污受贿、循私舞弊、枉法裁判。</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19" w:name="_Toc22630"/>
      <w:r>
        <w:rPr>
          <w:rFonts w:hint="eastAsia" w:ascii="仿宋_GB2312" w:hAnsi="仿宋_GB2312" w:eastAsia="仿宋_GB2312" w:cs="仿宋_GB2312"/>
          <w:b/>
          <w:bCs/>
          <w:color w:val="auto"/>
          <w:kern w:val="2"/>
          <w:sz w:val="32"/>
          <w:szCs w:val="32"/>
          <w:u w:val="none"/>
          <w:lang w:val="en-US" w:eastAsia="zh-CN" w:bidi="ar-SA"/>
        </w:rPr>
        <w:t>第七十五条 审查调解书</w:t>
      </w:r>
      <w:bookmarkEnd w:id="119"/>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对于已经发生法律效力的调解书，律师应着重审查是否有证据证明调解违反自愿原则或者调解协议的内容违反法律。</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20" w:name="_Toc7326"/>
      <w:r>
        <w:rPr>
          <w:rFonts w:hint="eastAsia" w:ascii="仿宋_GB2312" w:hAnsi="仿宋_GB2312" w:eastAsia="仿宋_GB2312" w:cs="仿宋_GB2312"/>
          <w:b/>
          <w:bCs/>
          <w:color w:val="auto"/>
          <w:kern w:val="2"/>
          <w:sz w:val="32"/>
          <w:szCs w:val="32"/>
          <w:u w:val="none"/>
          <w:lang w:val="en-US" w:eastAsia="zh-CN" w:bidi="ar-SA"/>
        </w:rPr>
        <w:t>第七十六条 再审申请注意事项</w:t>
      </w:r>
      <w:bookmarkEnd w:id="120"/>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（一）律师接受委托后，可以代为起草再审申请书或者再审答辩状。</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 xml:space="preserve">（二）再审申请方律师应当注意，再审申请应在判决、裁定、调解发生法律效力后二年内向原审法院或者上一级法院提出。 </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（三）再审申请方律师在向法院提出再审申请的同时应向法院提出请求中止原判决或者调解执行的书面请求。</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21" w:name="_Toc26730"/>
      <w:r>
        <w:rPr>
          <w:rFonts w:hint="eastAsia" w:ascii="仿宋_GB2312" w:hAnsi="仿宋_GB2312" w:eastAsia="仿宋_GB2312" w:cs="仿宋_GB2312"/>
          <w:b/>
          <w:bCs/>
          <w:color w:val="auto"/>
          <w:kern w:val="2"/>
          <w:sz w:val="32"/>
          <w:szCs w:val="32"/>
          <w:u w:val="none"/>
          <w:lang w:val="en-US" w:eastAsia="zh-CN" w:bidi="ar-SA"/>
        </w:rPr>
        <w:t>第七十七条 申请强制执行</w:t>
      </w:r>
      <w:bookmarkEnd w:id="121"/>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如对方当事人拒不履行已经生效的民事判决书、民事裁定书、民事调解书、支付令、仲裁裁决书和调解书等生效的法律文书的，律师可以代理委托人向人民法院申请强制执行。对强制执行程序有异议的委托人，律师还可担任执行案件中的被执行人、提出执行异议的案外人以及被强制执行财产的第三人的代理人。</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22" w:name="_Toc8990"/>
      <w:r>
        <w:rPr>
          <w:rFonts w:hint="eastAsia" w:ascii="仿宋_GB2312" w:hAnsi="仿宋_GB2312" w:eastAsia="仿宋_GB2312" w:cs="仿宋_GB2312"/>
          <w:b/>
          <w:bCs/>
          <w:color w:val="auto"/>
          <w:kern w:val="2"/>
          <w:sz w:val="32"/>
          <w:szCs w:val="32"/>
          <w:u w:val="none"/>
          <w:lang w:val="en-US" w:eastAsia="zh-CN" w:bidi="ar-SA"/>
        </w:rPr>
        <w:t>第七十八条 审查申请执行条件</w:t>
      </w:r>
      <w:bookmarkEnd w:id="122"/>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律师应当审查申请执行的案件是否符合下列条件：</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（一）申请执行的法律文书已经生效；</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（二）申请执行人的申请未超过法定期限；</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（三）申请执行人为生效法律文书的权利人或者其继承人或者权利承受人；</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（四）被执行人在生效法律文书确定的期限内未履行义务；</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（五）执行事项具有可执行性。</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23" w:name="_Toc8812"/>
      <w:r>
        <w:rPr>
          <w:rFonts w:hint="eastAsia" w:ascii="仿宋_GB2312" w:hAnsi="仿宋_GB2312" w:eastAsia="仿宋_GB2312" w:cs="仿宋_GB2312"/>
          <w:b/>
          <w:bCs/>
          <w:color w:val="auto"/>
          <w:kern w:val="2"/>
          <w:sz w:val="32"/>
          <w:szCs w:val="32"/>
          <w:u w:val="none"/>
          <w:lang w:val="en-US" w:eastAsia="zh-CN" w:bidi="ar-SA"/>
        </w:rPr>
        <w:t>第七十九条 审查被执行人</w:t>
      </w:r>
      <w:bookmarkEnd w:id="123"/>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律师应当审查被执行人是否符合下列条件：</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（一）生效法律文书确定被执行人有履行义务；</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（二）被执行人在规定的期限内未履行义务。</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24" w:name="_Toc14638"/>
      <w:r>
        <w:rPr>
          <w:rFonts w:hint="eastAsia" w:ascii="仿宋_GB2312" w:hAnsi="仿宋_GB2312" w:eastAsia="仿宋_GB2312" w:cs="仿宋_GB2312"/>
          <w:b/>
          <w:bCs/>
          <w:color w:val="auto"/>
          <w:kern w:val="2"/>
          <w:sz w:val="32"/>
          <w:szCs w:val="32"/>
          <w:u w:val="none"/>
          <w:lang w:val="en-US" w:eastAsia="zh-CN" w:bidi="ar-SA"/>
        </w:rPr>
        <w:t>第八十条 审查执行异议案外人</w:t>
      </w:r>
      <w:bookmarkEnd w:id="124"/>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律师应当审查提出执行异议的案外人是否符合下列条件：</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（一）为案件当事人以外的与执行标的有利害关系的人；</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（二）对执行标的有主张的权利。</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25" w:name="_Toc3606"/>
      <w:r>
        <w:rPr>
          <w:rFonts w:hint="eastAsia" w:ascii="仿宋_GB2312" w:hAnsi="仿宋_GB2312" w:eastAsia="仿宋_GB2312" w:cs="仿宋_GB2312"/>
          <w:b/>
          <w:bCs/>
          <w:color w:val="auto"/>
          <w:kern w:val="2"/>
          <w:sz w:val="32"/>
          <w:szCs w:val="32"/>
          <w:u w:val="none"/>
          <w:lang w:val="en-US" w:eastAsia="zh-CN" w:bidi="ar-SA"/>
        </w:rPr>
        <w:t>第八十一条 审查第三人</w:t>
      </w:r>
      <w:bookmarkEnd w:id="125"/>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律师应当审查被执行财产的第三人是否符合下列条件：</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（一）第三人对被执行人负有到期债务；</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（二）被执行人不能清偿到期债务；</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（三）该第三人在规定期限内提出异议。</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26" w:name="_Toc32330"/>
      <w:r>
        <w:rPr>
          <w:rFonts w:hint="eastAsia" w:ascii="仿宋_GB2312" w:hAnsi="仿宋_GB2312" w:eastAsia="仿宋_GB2312" w:cs="仿宋_GB2312"/>
          <w:b/>
          <w:bCs/>
          <w:color w:val="auto"/>
          <w:kern w:val="2"/>
          <w:sz w:val="32"/>
          <w:szCs w:val="32"/>
          <w:u w:val="none"/>
          <w:lang w:val="en-US" w:eastAsia="zh-CN" w:bidi="ar-SA"/>
        </w:rPr>
        <w:t>第八十二条 提交执行材料</w:t>
      </w:r>
      <w:bookmarkEnd w:id="126"/>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律师接受执行申请人的委托后，应当代为起草申请执行书，并由律师或者委托人在法定期限内向有管辖权的法院提出，同时提交以下材料：</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（一）据以执行的生效法律文书；</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（二）委托人的授权委托书和所在律师事务所的函；</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（三）申请执行人的身份证明等。</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27" w:name="_Toc29080"/>
      <w:r>
        <w:rPr>
          <w:rFonts w:hint="eastAsia" w:ascii="仿宋_GB2312" w:hAnsi="仿宋_GB2312" w:eastAsia="仿宋_GB2312" w:cs="仿宋_GB2312"/>
          <w:b/>
          <w:bCs/>
          <w:color w:val="auto"/>
          <w:kern w:val="2"/>
          <w:sz w:val="32"/>
          <w:szCs w:val="32"/>
          <w:u w:val="none"/>
          <w:lang w:val="en-US" w:eastAsia="zh-CN" w:bidi="ar-SA"/>
        </w:rPr>
        <w:t>第八十三条 追加被执行主体</w:t>
      </w:r>
      <w:bookmarkEnd w:id="127"/>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出现可变更或者追加被执行主体的情况时，律师在征得委托人同意后，应当向法院提出变更或者追加被执行主体的申请。</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28" w:name="_Toc23005"/>
      <w:r>
        <w:rPr>
          <w:rFonts w:hint="eastAsia" w:ascii="仿宋_GB2312" w:hAnsi="仿宋_GB2312" w:eastAsia="仿宋_GB2312" w:cs="仿宋_GB2312"/>
          <w:b/>
          <w:bCs/>
          <w:color w:val="auto"/>
          <w:kern w:val="2"/>
          <w:sz w:val="32"/>
          <w:szCs w:val="32"/>
          <w:u w:val="none"/>
          <w:lang w:val="en-US" w:eastAsia="zh-CN" w:bidi="ar-SA"/>
        </w:rPr>
        <w:t>第八十四条 破产申请</w:t>
      </w:r>
      <w:bookmarkEnd w:id="128"/>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被执行人为企业法人、其财产不足以清偿全部债务的，律师应征询委托人是否向法院提出破产申请。</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29" w:name="_Toc28847"/>
      <w:r>
        <w:rPr>
          <w:rFonts w:hint="eastAsia" w:ascii="仿宋_GB2312" w:hAnsi="仿宋_GB2312" w:eastAsia="仿宋_GB2312" w:cs="仿宋_GB2312"/>
          <w:b/>
          <w:bCs/>
          <w:color w:val="auto"/>
          <w:kern w:val="2"/>
          <w:sz w:val="32"/>
          <w:szCs w:val="32"/>
          <w:u w:val="none"/>
          <w:lang w:val="en-US" w:eastAsia="zh-CN" w:bidi="ar-SA"/>
        </w:rPr>
        <w:t>第八十五条 执行和解协议</w:t>
      </w:r>
      <w:bookmarkEnd w:id="129"/>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在执行过程中，律师可以根据委托人的特别授权，与被执行人达成和解协议，变更生效法律文书所确定的履行义务主体、标的物及其数额、履行方式以及履行期限等。</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30" w:name="_Toc15047"/>
      <w:r>
        <w:rPr>
          <w:rFonts w:hint="eastAsia" w:ascii="仿宋_GB2312" w:hAnsi="仿宋_GB2312" w:eastAsia="仿宋_GB2312" w:cs="仿宋_GB2312"/>
          <w:b/>
          <w:bCs/>
          <w:color w:val="auto"/>
          <w:kern w:val="2"/>
          <w:sz w:val="32"/>
          <w:szCs w:val="32"/>
          <w:u w:val="none"/>
          <w:lang w:val="en-US" w:eastAsia="zh-CN" w:bidi="ar-SA"/>
        </w:rPr>
        <w:t>第八十六条 执行中止审查</w:t>
      </w:r>
      <w:bookmarkEnd w:id="130"/>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律师应当对法院裁定执行中止的事实与理由进行审查，确定是否对执行中止向法院提出异议。在执行中止的事由消灭后，律师应当协助委托人做好执行程序的恢复工作。</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31" w:name="_Toc30853"/>
      <w:r>
        <w:rPr>
          <w:rFonts w:hint="eastAsia" w:ascii="仿宋_GB2312" w:hAnsi="仿宋_GB2312" w:eastAsia="仿宋_GB2312" w:cs="仿宋_GB2312"/>
          <w:b/>
          <w:bCs/>
          <w:color w:val="auto"/>
          <w:kern w:val="2"/>
          <w:sz w:val="32"/>
          <w:szCs w:val="32"/>
          <w:u w:val="none"/>
          <w:lang w:val="en-US" w:eastAsia="zh-CN" w:bidi="ar-SA"/>
        </w:rPr>
        <w:t>第八十七条 申请延期执行</w:t>
      </w:r>
      <w:bookmarkEnd w:id="131"/>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律师可根据案件的性质及被执行人的执行能力等情况，提请委托人注意是否向法院申请延期执行。对执行周期较长的案件，律师应当注意财产保全的期限，及时向法院申请延期。</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32" w:name="_Toc21547"/>
      <w:r>
        <w:rPr>
          <w:rFonts w:hint="eastAsia" w:ascii="仿宋_GB2312" w:hAnsi="仿宋_GB2312" w:eastAsia="仿宋_GB2312" w:cs="仿宋_GB2312"/>
          <w:b/>
          <w:bCs/>
          <w:color w:val="auto"/>
          <w:kern w:val="2"/>
          <w:sz w:val="32"/>
          <w:szCs w:val="32"/>
          <w:u w:val="none"/>
          <w:lang w:val="en-US" w:eastAsia="zh-CN" w:bidi="ar-SA"/>
        </w:rPr>
        <w:t>第八十八条 执行回转申请</w:t>
      </w:r>
      <w:bookmarkEnd w:id="132"/>
    </w:p>
    <w:p>
      <w:pPr>
        <w:keepNext w:val="0"/>
        <w:keepLines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可执行回转的案件，律师应当向法院提出执行回转申请，协助委托人提出有利于回转执行的措施。</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33" w:name="_Toc1993"/>
      <w:r>
        <w:rPr>
          <w:rFonts w:hint="eastAsia" w:ascii="仿宋_GB2312" w:hAnsi="仿宋_GB2312" w:eastAsia="仿宋_GB2312" w:cs="仿宋_GB2312"/>
          <w:b/>
          <w:bCs/>
          <w:color w:val="auto"/>
          <w:kern w:val="2"/>
          <w:sz w:val="32"/>
          <w:szCs w:val="32"/>
          <w:u w:val="none"/>
          <w:lang w:val="en-US" w:eastAsia="zh-CN" w:bidi="ar-SA"/>
        </w:rPr>
        <w:t>第八十九条 终结执行审查</w:t>
      </w:r>
      <w:bookmarkEnd w:id="133"/>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律师应当审查法院终结执行是否符合法律规定。对于不符合条件的终结执行，律师应当向法院及时提出异议。</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p>
    <w:p>
      <w:pPr>
        <w:keepNext w:val="0"/>
        <w:keepLines w:val="0"/>
        <w:kinsoku/>
        <w:wordWrap/>
        <w:overflowPunct/>
        <w:topLinePunct w:val="0"/>
        <w:autoSpaceDE/>
        <w:autoSpaceDN/>
        <w:bidi w:val="0"/>
        <w:adjustRightInd/>
        <w:snapToGrid/>
        <w:spacing w:line="560" w:lineRule="exact"/>
        <w:jc w:val="center"/>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第五章 附则</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34" w:name="_Toc18859"/>
      <w:r>
        <w:rPr>
          <w:rFonts w:hint="eastAsia" w:ascii="仿宋_GB2312" w:hAnsi="仿宋_GB2312" w:eastAsia="仿宋_GB2312" w:cs="仿宋_GB2312"/>
          <w:b/>
          <w:bCs/>
          <w:color w:val="auto"/>
          <w:kern w:val="2"/>
          <w:sz w:val="32"/>
          <w:szCs w:val="32"/>
          <w:u w:val="none"/>
          <w:lang w:val="en-US" w:eastAsia="zh-CN" w:bidi="ar-SA"/>
        </w:rPr>
        <w:t>第九十条 提示</w:t>
      </w:r>
      <w:bookmarkEnd w:id="134"/>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本指引仅是对律师办理该类业务的参考和提示，不能以此作为判定律师执业是否尽职合规的依据，更不能作为追究律师责任的依据。</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35" w:name="_Toc7299"/>
      <w:r>
        <w:rPr>
          <w:rFonts w:hint="eastAsia" w:ascii="仿宋_GB2312" w:hAnsi="仿宋_GB2312" w:eastAsia="仿宋_GB2312" w:cs="仿宋_GB2312"/>
          <w:b/>
          <w:bCs/>
          <w:color w:val="auto"/>
          <w:kern w:val="2"/>
          <w:sz w:val="32"/>
          <w:szCs w:val="32"/>
          <w:u w:val="none"/>
          <w:lang w:val="en-US" w:eastAsia="zh-CN" w:bidi="ar-SA"/>
        </w:rPr>
        <w:t>第九十一条 法规变化</w:t>
      </w:r>
      <w:bookmarkEnd w:id="135"/>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本指引根据2023年10月以前实施的法律、法规、规章、规范性文件和司法解释的规定，结合司法判例和律师业务实践制定。如果国家的法律、法规、规章、规范性文件及相关司法解释发生变化，应以新的规定为依据。</w:t>
      </w:r>
    </w:p>
    <w:p>
      <w:pPr>
        <w:keepNext w:val="0"/>
        <w:keepLines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b/>
          <w:bCs/>
          <w:color w:val="auto"/>
          <w:kern w:val="2"/>
          <w:sz w:val="32"/>
          <w:szCs w:val="32"/>
          <w:u w:val="none"/>
          <w:lang w:val="en-US" w:eastAsia="zh-CN" w:bidi="ar-SA"/>
        </w:rPr>
      </w:pPr>
      <w:bookmarkStart w:id="136" w:name="_Toc3700"/>
      <w:r>
        <w:rPr>
          <w:rFonts w:hint="eastAsia" w:ascii="仿宋_GB2312" w:hAnsi="仿宋_GB2312" w:eastAsia="仿宋_GB2312" w:cs="仿宋_GB2312"/>
          <w:b/>
          <w:bCs/>
          <w:color w:val="auto"/>
          <w:kern w:val="2"/>
          <w:sz w:val="32"/>
          <w:szCs w:val="32"/>
          <w:u w:val="none"/>
          <w:lang w:val="en-US" w:eastAsia="zh-CN" w:bidi="ar-SA"/>
        </w:rPr>
        <w:t>第九十二条 生效</w:t>
      </w:r>
      <w:bookmarkEnd w:id="136"/>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本指引经深圳市律师协会批准发布后生效。</w:t>
      </w: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p>
    <w:p>
      <w:pPr>
        <w:keepNext w:val="0"/>
        <w:keepLines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仿宋_GB2312" w:hAnsi="仿宋_GB2312" w:eastAsia="仿宋_GB2312" w:cs="仿宋_GB2312"/>
          <w:color w:val="auto"/>
          <w:kern w:val="2"/>
          <w:sz w:val="32"/>
          <w:szCs w:val="32"/>
          <w:u w:val="none"/>
          <w:lang w:val="en-US" w:eastAsia="zh-CN" w:bidi="ar-SA"/>
        </w:rPr>
        <w:t>（本指引由深圳市律师协会电子商务专业委员会负责起草。执笔人：杨洁、聂鹏民、邹睿、刘孝斌、唐宏昌、唐艳、刘春花、肖刚、肖通、王荻）</w:t>
      </w:r>
    </w:p>
    <w:p>
      <w:pPr>
        <w:pStyle w:val="2"/>
        <w:keepNext w:val="0"/>
        <w:keepLines w:val="0"/>
        <w:kinsoku/>
        <w:wordWrap/>
        <w:overflowPunct/>
        <w:topLinePunct w:val="0"/>
        <w:autoSpaceDE/>
        <w:autoSpaceDN/>
        <w:bidi w:val="0"/>
        <w:adjustRightInd/>
        <w:snapToGrid/>
        <w:spacing w:line="560" w:lineRule="exact"/>
        <w:textAlignment w:val="auto"/>
        <w:rPr>
          <w:rFonts w:hint="eastAsia" w:ascii="仿宋" w:hAnsi="仿宋" w:eastAsia="仿宋" w:cs="仿宋"/>
          <w:kern w:val="0"/>
          <w:sz w:val="32"/>
          <w:szCs w:val="32"/>
          <w:lang w:val="en-US" w:eastAsia="zh-CN" w:bidi="ar"/>
        </w:rPr>
      </w:pPr>
    </w:p>
    <w:p>
      <w:pPr>
        <w:pStyle w:val="2"/>
        <w:keepNext w:val="0"/>
        <w:keepLines w:val="0"/>
        <w:kinsoku/>
        <w:wordWrap/>
        <w:overflowPunct/>
        <w:topLinePunct w:val="0"/>
        <w:autoSpaceDE/>
        <w:autoSpaceDN/>
        <w:bidi w:val="0"/>
        <w:adjustRightInd/>
        <w:snapToGrid/>
        <w:spacing w:line="560" w:lineRule="exact"/>
        <w:textAlignment w:val="auto"/>
        <w:rPr>
          <w:rFonts w:hint="eastAsia" w:ascii="仿宋" w:hAnsi="仿宋" w:eastAsia="仿宋" w:cs="仿宋"/>
          <w:kern w:val="0"/>
          <w:sz w:val="32"/>
          <w:szCs w:val="32"/>
          <w:lang w:val="en-US" w:eastAsia="zh-CN" w:bidi="ar"/>
        </w:rPr>
      </w:pPr>
    </w:p>
    <w:sectPr>
      <w:footerReference r:id="rId4" w:type="default"/>
      <w:pgSz w:w="11906" w:h="16838"/>
      <w:pgMar w:top="1417" w:right="1417" w:bottom="1417" w:left="141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hint="eastAsia" w:eastAsia="宋体"/>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hint="eastAsia" w:eastAsia="宋体"/>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4</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Q1MmM5MWVmZmJmZWYxOGI0ZDc0ODJiZjk1MDRhMGYifQ=="/>
  </w:docVars>
  <w:rsids>
    <w:rsidRoot w:val="00AE3004"/>
    <w:rsid w:val="00010335"/>
    <w:rsid w:val="000142EE"/>
    <w:rsid w:val="00026753"/>
    <w:rsid w:val="00065BCA"/>
    <w:rsid w:val="00080C57"/>
    <w:rsid w:val="000B64D5"/>
    <w:rsid w:val="000D738E"/>
    <w:rsid w:val="00155BCC"/>
    <w:rsid w:val="001D484F"/>
    <w:rsid w:val="00202EC4"/>
    <w:rsid w:val="0022079F"/>
    <w:rsid w:val="00236844"/>
    <w:rsid w:val="00244200"/>
    <w:rsid w:val="00261617"/>
    <w:rsid w:val="00265F05"/>
    <w:rsid w:val="0028705D"/>
    <w:rsid w:val="002907D3"/>
    <w:rsid w:val="002A4433"/>
    <w:rsid w:val="002B7D10"/>
    <w:rsid w:val="003030E6"/>
    <w:rsid w:val="00311A4B"/>
    <w:rsid w:val="00325D7D"/>
    <w:rsid w:val="00400FCD"/>
    <w:rsid w:val="00404038"/>
    <w:rsid w:val="00416CA2"/>
    <w:rsid w:val="00421D00"/>
    <w:rsid w:val="0042207A"/>
    <w:rsid w:val="00436F6D"/>
    <w:rsid w:val="00483128"/>
    <w:rsid w:val="004877FB"/>
    <w:rsid w:val="004F7B95"/>
    <w:rsid w:val="005932CE"/>
    <w:rsid w:val="005B1DBB"/>
    <w:rsid w:val="005C1B3F"/>
    <w:rsid w:val="006256D9"/>
    <w:rsid w:val="00685235"/>
    <w:rsid w:val="006C12B9"/>
    <w:rsid w:val="006E1017"/>
    <w:rsid w:val="00731728"/>
    <w:rsid w:val="007324ED"/>
    <w:rsid w:val="00753104"/>
    <w:rsid w:val="00771613"/>
    <w:rsid w:val="007721DD"/>
    <w:rsid w:val="00787DFB"/>
    <w:rsid w:val="007D249B"/>
    <w:rsid w:val="008466C3"/>
    <w:rsid w:val="008A4140"/>
    <w:rsid w:val="009040B5"/>
    <w:rsid w:val="009117D8"/>
    <w:rsid w:val="00940241"/>
    <w:rsid w:val="0095798D"/>
    <w:rsid w:val="00993B8B"/>
    <w:rsid w:val="009C21E8"/>
    <w:rsid w:val="009E1629"/>
    <w:rsid w:val="009F6FDD"/>
    <w:rsid w:val="00A31942"/>
    <w:rsid w:val="00AA117D"/>
    <w:rsid w:val="00AA7294"/>
    <w:rsid w:val="00AE3004"/>
    <w:rsid w:val="00B5333C"/>
    <w:rsid w:val="00B72B19"/>
    <w:rsid w:val="00B83463"/>
    <w:rsid w:val="00BA1239"/>
    <w:rsid w:val="00C0544B"/>
    <w:rsid w:val="00C5437D"/>
    <w:rsid w:val="00CA2EA8"/>
    <w:rsid w:val="00CA4019"/>
    <w:rsid w:val="00CB306A"/>
    <w:rsid w:val="00CB543D"/>
    <w:rsid w:val="00CB7E67"/>
    <w:rsid w:val="00CD76F6"/>
    <w:rsid w:val="00CF3905"/>
    <w:rsid w:val="00D66FE2"/>
    <w:rsid w:val="00D76B5D"/>
    <w:rsid w:val="00D76C68"/>
    <w:rsid w:val="00DC7C2A"/>
    <w:rsid w:val="00DD0051"/>
    <w:rsid w:val="00E42D4D"/>
    <w:rsid w:val="00E63CA2"/>
    <w:rsid w:val="00E71A39"/>
    <w:rsid w:val="00ED7596"/>
    <w:rsid w:val="00EE07E8"/>
    <w:rsid w:val="00EF7DAF"/>
    <w:rsid w:val="00F25765"/>
    <w:rsid w:val="00FD08C1"/>
    <w:rsid w:val="00FE5F73"/>
    <w:rsid w:val="00FF6B55"/>
    <w:rsid w:val="01100232"/>
    <w:rsid w:val="07041C7C"/>
    <w:rsid w:val="0D577C4B"/>
    <w:rsid w:val="0DD666EC"/>
    <w:rsid w:val="0E292917"/>
    <w:rsid w:val="0F8D528D"/>
    <w:rsid w:val="134770B1"/>
    <w:rsid w:val="1B730762"/>
    <w:rsid w:val="1BE85270"/>
    <w:rsid w:val="251A4370"/>
    <w:rsid w:val="2A1B2774"/>
    <w:rsid w:val="2BBE6113"/>
    <w:rsid w:val="329158CF"/>
    <w:rsid w:val="34C40121"/>
    <w:rsid w:val="373553B6"/>
    <w:rsid w:val="42EA2E5A"/>
    <w:rsid w:val="4AEA30A2"/>
    <w:rsid w:val="4E1079F6"/>
    <w:rsid w:val="4ED67459"/>
    <w:rsid w:val="512A27E4"/>
    <w:rsid w:val="57560D05"/>
    <w:rsid w:val="5B723E00"/>
    <w:rsid w:val="5F6716D1"/>
    <w:rsid w:val="71530E10"/>
    <w:rsid w:val="71581782"/>
    <w:rsid w:val="75742F72"/>
    <w:rsid w:val="7B9A12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rFonts w:ascii="Times New Roman" w:hAnsi="Times New Roman" w:eastAsia="宋体" w:cs="Times New Roman"/>
    </w:rPr>
  </w:style>
  <w:style w:type="paragraph" w:styleId="3">
    <w:name w:val="toc 3"/>
    <w:basedOn w:val="1"/>
    <w:next w:val="1"/>
    <w:semiHidden/>
    <w:unhideWhenUsed/>
    <w:qFormat/>
    <w:uiPriority w:val="39"/>
    <w:pPr>
      <w:ind w:left="840" w:leftChars="400"/>
    </w:pPr>
  </w:style>
  <w:style w:type="paragraph" w:styleId="4">
    <w:name w:val="Date"/>
    <w:basedOn w:val="1"/>
    <w:next w:val="1"/>
    <w:link w:val="16"/>
    <w:semiHidden/>
    <w:unhideWhenUsed/>
    <w:qFormat/>
    <w:uiPriority w:val="99"/>
    <w:pPr>
      <w:ind w:left="100" w:leftChars="2500"/>
    </w:pPr>
  </w:style>
  <w:style w:type="paragraph" w:styleId="5">
    <w:name w:val="footer"/>
    <w:basedOn w:val="1"/>
    <w:link w:val="15"/>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1"/>
    <w:basedOn w:val="1"/>
    <w:next w:val="1"/>
    <w:semiHidden/>
    <w:unhideWhenUsed/>
    <w:qFormat/>
    <w:uiPriority w:val="39"/>
  </w:style>
  <w:style w:type="paragraph" w:styleId="8">
    <w:name w:val="toc 2"/>
    <w:basedOn w:val="1"/>
    <w:next w:val="1"/>
    <w:semiHidden/>
    <w:unhideWhenUsed/>
    <w:qFormat/>
    <w:uiPriority w:val="39"/>
    <w:pPr>
      <w:ind w:left="420" w:leftChars="200"/>
    </w:pPr>
  </w:style>
  <w:style w:type="paragraph" w:styleId="9">
    <w:name w:val="Normal (Web)"/>
    <w:basedOn w:val="1"/>
    <w:semiHidden/>
    <w:unhideWhenUsed/>
    <w:qFormat/>
    <w:uiPriority w:val="99"/>
    <w:pPr>
      <w:widowControl/>
      <w:spacing w:before="100" w:beforeAutospacing="1" w:after="100" w:afterAutospacing="1"/>
      <w:jc w:val="left"/>
    </w:pPr>
    <w:rPr>
      <w:rFonts w:ascii="宋体" w:hAnsi="宋体" w:cs="宋体"/>
      <w:kern w:val="0"/>
      <w:sz w:val="24"/>
    </w:rPr>
  </w:style>
  <w:style w:type="character" w:styleId="12">
    <w:name w:val="Strong"/>
    <w:basedOn w:val="11"/>
    <w:qFormat/>
    <w:uiPriority w:val="22"/>
    <w:rPr>
      <w:b/>
    </w:rPr>
  </w:style>
  <w:style w:type="character" w:styleId="13">
    <w:name w:val="Hyperlink"/>
    <w:basedOn w:val="11"/>
    <w:semiHidden/>
    <w:unhideWhenUsed/>
    <w:qFormat/>
    <w:uiPriority w:val="99"/>
    <w:rPr>
      <w:color w:val="0000FF"/>
      <w:u w:val="single"/>
    </w:rPr>
  </w:style>
  <w:style w:type="character" w:customStyle="1" w:styleId="14">
    <w:name w:val="页眉 字符"/>
    <w:basedOn w:val="11"/>
    <w:link w:val="6"/>
    <w:qFormat/>
    <w:uiPriority w:val="99"/>
    <w:rPr>
      <w:rFonts w:ascii="Calibri" w:hAnsi="Calibri" w:eastAsia="宋体" w:cs="Times New Roman"/>
      <w:sz w:val="18"/>
      <w:szCs w:val="18"/>
    </w:rPr>
  </w:style>
  <w:style w:type="character" w:customStyle="1" w:styleId="15">
    <w:name w:val="页脚 字符"/>
    <w:basedOn w:val="11"/>
    <w:link w:val="5"/>
    <w:qFormat/>
    <w:uiPriority w:val="99"/>
    <w:rPr>
      <w:rFonts w:ascii="Calibri" w:hAnsi="Calibri" w:eastAsia="宋体" w:cs="Times New Roman"/>
      <w:sz w:val="18"/>
      <w:szCs w:val="18"/>
    </w:rPr>
  </w:style>
  <w:style w:type="character" w:customStyle="1" w:styleId="16">
    <w:name w:val="日期 字符"/>
    <w:basedOn w:val="11"/>
    <w:link w:val="4"/>
    <w:semiHidden/>
    <w:qFormat/>
    <w:uiPriority w:val="99"/>
    <w:rPr>
      <w:rFonts w:ascii="Calibri" w:hAnsi="Calibri" w:eastAsia="宋体" w:cs="Times New Roman"/>
      <w:szCs w:val="24"/>
    </w:rPr>
  </w:style>
  <w:style w:type="paragraph" w:styleId="17">
    <w:name w:val="List Paragraph"/>
    <w:basedOn w:val="1"/>
    <w:qFormat/>
    <w:uiPriority w:val="34"/>
    <w:pPr>
      <w:ind w:firstLine="420" w:firstLineChars="200"/>
    </w:pPr>
  </w:style>
  <w:style w:type="paragraph" w:customStyle="1" w:styleId="18">
    <w:name w:val="WPSOffice手动目录 1"/>
    <w:qFormat/>
    <w:uiPriority w:val="0"/>
    <w:pPr>
      <w:ind w:leftChars="0"/>
    </w:pPr>
    <w:rPr>
      <w:rFonts w:ascii="Times New Roman" w:hAnsi="Times New Roman" w:eastAsia="宋体" w:cs="Times New Roman"/>
      <w:sz w:val="20"/>
      <w:szCs w:val="20"/>
    </w:rPr>
  </w:style>
  <w:style w:type="paragraph" w:customStyle="1" w:styleId="19">
    <w:name w:val="WPSOffice手动目录 2"/>
    <w:qFormat/>
    <w:uiPriority w:val="0"/>
    <w:pPr>
      <w:ind w:leftChars="200"/>
    </w:pPr>
    <w:rPr>
      <w:rFonts w:ascii="Times New Roman" w:hAnsi="Times New Roman" w:eastAsia="宋体" w:cs="Times New Roman"/>
      <w:sz w:val="20"/>
      <w:szCs w:val="20"/>
    </w:rPr>
  </w:style>
  <w:style w:type="paragraph" w:customStyle="1" w:styleId="20">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805</Words>
  <Characters>4595</Characters>
  <Lines>38</Lines>
  <Paragraphs>10</Paragraphs>
  <TotalTime>16</TotalTime>
  <ScaleCrop>false</ScaleCrop>
  <LinksUpToDate>false</LinksUpToDate>
  <CharactersWithSpaces>5390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2023-03-28T08:58:00Z</dcterms:created>
  <dc:creator>杨 洁</dc:creator>
  <cp:lastModifiedBy>HQJ</cp:lastModifiedBy>
  <dcterms:modified xsi:type="dcterms:W3CDTF">2023-11-08T02:25:46Z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8291DB9DDCDC4E0787649CF1CD557944_13</vt:lpwstr>
  </property>
</Properties>
</file>