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default" w:ascii="Times New Roman" w:hAnsi="Times New Roman" w:eastAsia="黑体" w:cs="Times New Roman"/>
          <w:kern w:val="2"/>
          <w:sz w:val="32"/>
          <w:szCs w:val="24"/>
          <w:lang w:val="en-US" w:eastAsia="zh-CN" w:bidi="ar-SA"/>
        </w:rPr>
      </w:pPr>
      <w:r>
        <w:rPr>
          <w:rFonts w:hint="default" w:ascii="Times New Roman" w:hAnsi="Times New Roman" w:eastAsia="黑体" w:cs="Times New Roman"/>
          <w:kern w:val="2"/>
          <w:sz w:val="32"/>
          <w:szCs w:val="24"/>
          <w:lang w:val="en-US" w:eastAsia="zh-CN" w:bidi="ar-SA"/>
        </w:rPr>
        <w:t>附件2</w:t>
      </w:r>
    </w:p>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简体" w:cs="Times New Roman"/>
          <w:sz w:val="44"/>
          <w:szCs w:val="32"/>
          <w:lang w:val="en-US" w:eastAsia="zh-CN"/>
        </w:rPr>
      </w:pPr>
      <w:r>
        <w:rPr>
          <w:rFonts w:hint="default" w:ascii="Times New Roman" w:hAnsi="Times New Roman" w:eastAsia="方正小标宋简体" w:cs="Times New Roman"/>
          <w:sz w:val="44"/>
          <w:szCs w:val="32"/>
          <w:lang w:val="en-US" w:eastAsia="zh-CN"/>
        </w:rPr>
        <w:t>师资介绍</w:t>
      </w:r>
    </w:p>
    <w:p>
      <w:pPr>
        <w:keepNext w:val="0"/>
        <w:keepLines w:val="0"/>
        <w:pageBreakBefore w:val="0"/>
        <w:widowControl w:val="0"/>
        <w:kinsoku/>
        <w:wordWrap/>
        <w:overflowPunct/>
        <w:topLinePunct w:val="0"/>
        <w:autoSpaceDE/>
        <w:autoSpaceDN/>
        <w:bidi w:val="0"/>
        <w:adjustRightInd/>
        <w:snapToGrid/>
        <w:spacing w:line="560" w:lineRule="exact"/>
        <w:ind w:left="0" w:leftChars="0"/>
        <w:jc w:val="both"/>
        <w:textAlignment w:val="auto"/>
        <w:rPr>
          <w:rFonts w:hint="default" w:ascii="Times New Roman" w:hAnsi="Times New Roman" w:eastAsia="仿宋_GB2312" w:cs="Times New Roman"/>
          <w:kern w:val="2"/>
          <w:sz w:val="32"/>
          <w:szCs w:val="24"/>
          <w:lang w:val="en-US" w:eastAsia="zh-CN" w:bidi="ar-SA"/>
        </w:rPr>
      </w:pP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杨立新：</w:t>
      </w:r>
      <w:r>
        <w:rPr>
          <w:rFonts w:hint="default" w:ascii="Times New Roman" w:hAnsi="Times New Roman" w:eastAsia="仿宋_GB2312" w:cs="Times New Roman"/>
          <w:sz w:val="32"/>
          <w:szCs w:val="32"/>
          <w:lang w:val="en-US" w:eastAsia="zh-CN"/>
        </w:rPr>
        <w:t>广东财经大学特聘教授（原中国人民大学二级教授），博士生导师，中央“五五”普法国家中高级干部学法讲师团成员、最高人民检察院专家咨询委员会委员，中国法学会民法学研究会副会长、北京市消费者权益保护法学会名誉会长、中国法学会婚姻法学研究会常务理事、东亚侵权法学会理事长、世界侵权法学会主席。</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童之伟：</w:t>
      </w:r>
      <w:r>
        <w:rPr>
          <w:rFonts w:hint="default" w:ascii="Times New Roman" w:hAnsi="Times New Roman" w:eastAsia="仿宋_GB2312" w:cs="Times New Roman"/>
          <w:sz w:val="32"/>
          <w:szCs w:val="32"/>
          <w:lang w:val="en-US" w:eastAsia="zh-CN"/>
        </w:rPr>
        <w:t>广东财经大学特聘教授（原华东政法大学法学二级教授），博士生导师，宪法与行政法学科带头人，宪法学博士点负责人，法治中国建设研究中心负责人；哈佛大学访问学者、芝加哥大学访问学者。</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鲁晓明：</w:t>
      </w:r>
      <w:r>
        <w:rPr>
          <w:rFonts w:hint="default" w:ascii="Times New Roman" w:hAnsi="Times New Roman" w:eastAsia="仿宋_GB2312" w:cs="Times New Roman"/>
          <w:sz w:val="32"/>
          <w:szCs w:val="32"/>
          <w:lang w:val="en-US" w:eastAsia="zh-CN"/>
        </w:rPr>
        <w:t>第十三届全国政协委员，广东财经大学法学院院长，教授，中国人民大学民商法专业博士。民商法专业学科带头人。民建广东省委会副主委。南粤优秀教师，广东省第三届十大中青年法学家。</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谢  晖：</w:t>
      </w:r>
      <w:r>
        <w:rPr>
          <w:rFonts w:hint="default" w:ascii="Times New Roman" w:hAnsi="Times New Roman" w:eastAsia="仿宋_GB2312" w:cs="Times New Roman"/>
          <w:sz w:val="32"/>
          <w:szCs w:val="32"/>
          <w:lang w:val="en-US" w:eastAsia="zh-CN"/>
        </w:rPr>
        <w:t>曾任山东大学法学院教授、理论法学博士生导师，北京理工大学法学院教授、中南大学特聘教授、博士生导师，现任广州大学人权研究学院教授。曾获得首届“教育部高等学校优秀青年教师”；首届山东省“泰山学者”，山东大学“泰山学者特聘教授”；首届山东大学人文社科“杰出学者”；山东省第一、二届“百人工程”人选；国务院特殊津贴专家；青海省首批“创新创业人才”等奖励或荣誉。出版、发表个人学术、文学作品32部；发表学术论文260篇，学术随笔和散文220余篇。主编“法理文库”“公法研究”“民间法文丛”“法意文丛”、《民间法》《法律方法》等学术丛书和刊物。组织和主持系列学术会议“全国民间法／民族习惯法学术研讨会”“全国法律方法论坛”等学术活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b/>
          <w:bCs/>
          <w:kern w:val="2"/>
          <w:sz w:val="32"/>
          <w:szCs w:val="32"/>
          <w:lang w:val="en-US" w:eastAsia="zh-CN" w:bidi="ar-SA"/>
        </w:rPr>
        <w:t>岳树梅：</w:t>
      </w:r>
      <w:r>
        <w:rPr>
          <w:rFonts w:hint="default" w:ascii="Times New Roman" w:hAnsi="Times New Roman" w:eastAsia="仿宋_GB2312" w:cs="Times New Roman"/>
          <w:kern w:val="2"/>
          <w:sz w:val="32"/>
          <w:szCs w:val="32"/>
          <w:lang w:val="en-US" w:eastAsia="zh-CN" w:bidi="ar-SA"/>
        </w:rPr>
        <w:t>西南政法大学国际法学院教授，博士生导师。民建中央理论委委员、民建重庆市委委员，民建重庆市理论委副主任；兼任中国自然资源学会资源法学专业委员会副主任，WTO法研究会理事，重庆市民法、经济法、国际经济法研究会副秘书长，重庆市仲裁委仲裁员，民建南岸区委副主委、区政协委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赵景琛：</w:t>
      </w:r>
      <w:r>
        <w:rPr>
          <w:rFonts w:hint="default" w:ascii="Times New Roman" w:hAnsi="Times New Roman" w:eastAsia="仿宋_GB2312" w:cs="Times New Roman"/>
          <w:sz w:val="32"/>
          <w:szCs w:val="32"/>
          <w:lang w:val="en-US" w:eastAsia="zh-CN"/>
        </w:rPr>
        <w:t>英国诺丁汉特伦特大学法学院终身教授、博士生导师，公司法学科带头人，商法与破产法中心主任，广东财经大学高层次引进人才。全英讲授公司法、公司治理、证券法、公司金融法、现代企业社会责任、合同法、世贸组织法、英国侵权法及国际商法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曾文革</w:t>
      </w:r>
      <w:r>
        <w:rPr>
          <w:rFonts w:hint="default" w:ascii="Times New Roman" w:hAnsi="Times New Roman" w:eastAsia="楷体" w:cs="Times New Roman"/>
          <w:sz w:val="32"/>
          <w:szCs w:val="32"/>
          <w:lang w:val="en-US" w:eastAsia="zh-CN"/>
        </w:rPr>
        <w:t>：</w:t>
      </w:r>
      <w:r>
        <w:rPr>
          <w:rFonts w:hint="default" w:ascii="Times New Roman" w:hAnsi="Times New Roman" w:eastAsia="仿宋_GB2312" w:cs="Times New Roman"/>
          <w:sz w:val="32"/>
          <w:szCs w:val="32"/>
          <w:lang w:val="en-US" w:eastAsia="zh-CN"/>
        </w:rPr>
        <w:t>重庆大学法学院教授，博士生导师，香港大学法律学院、美国佛罗里达大学访问学者。中国法学会环境资源法研究会理事，中国国际经济法学会理事，重庆市法学会环境资源法研究会秘书长，重庆市法学会国际经济法研究会副秘书长，重庆市教育学会政策法规工作委员会副理事长，重庆市纪检监察学会和重庆市纪委研究室特约研究员，重庆市自学考试法学专家组成员。</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 w:cs="Times New Roman"/>
          <w:b/>
          <w:bCs/>
          <w:sz w:val="32"/>
          <w:szCs w:val="32"/>
          <w:lang w:val="en-US" w:eastAsia="zh-CN"/>
        </w:rPr>
      </w:pPr>
      <w:r>
        <w:rPr>
          <w:rFonts w:hint="default" w:ascii="Times New Roman" w:hAnsi="Times New Roman" w:eastAsia="楷体" w:cs="Times New Roman"/>
          <w:b/>
          <w:bCs/>
          <w:sz w:val="32"/>
          <w:szCs w:val="32"/>
          <w:lang w:val="en-US" w:eastAsia="zh-CN"/>
        </w:rPr>
        <w:t>易在成：</w:t>
      </w:r>
      <w:r>
        <w:rPr>
          <w:rFonts w:hint="default" w:ascii="Times New Roman" w:hAnsi="Times New Roman" w:eastAsia="仿宋_GB2312" w:cs="Times New Roman"/>
          <w:b w:val="0"/>
          <w:bCs w:val="0"/>
          <w:sz w:val="32"/>
          <w:szCs w:val="32"/>
          <w:lang w:val="en-US" w:eastAsia="zh-CN"/>
        </w:rPr>
        <w:t>澳门科技大学法学院教授，博士生导师，澳科大法律实践教学中心主任，澳门特区法律改革咨询委员会委员，粤港澳大湾区知识产权法律联盟秘书长，深圳国际仲裁院仲裁员、广州仲裁委员会仲裁员、珠海国际仲裁院仲裁员等，横琴深合区法院调解员、广东高院及粤港澳大湾区知识产权调解中心调解员等。</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黄景禧：</w:t>
      </w:r>
      <w:r>
        <w:rPr>
          <w:rFonts w:hint="default" w:ascii="Times New Roman" w:hAnsi="Times New Roman" w:eastAsia="仿宋_GB2312" w:cs="Times New Roman"/>
          <w:sz w:val="32"/>
          <w:szCs w:val="32"/>
          <w:lang w:val="en-US" w:eastAsia="zh-CN"/>
        </w:rPr>
        <w:t>澳门法律交流协进会会长、澳门大学法学院兼职导师(行政法及民事诉讼法)、珠海市涉外公共法律服务中心副主任、横琴粤澳深度合作区劳动人事争议仲裁委员会仲裁员、人和启邦显辉(横琴)联营律师事务所管理委员会副主席，港澳律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沈云樵：</w:t>
      </w:r>
      <w:r>
        <w:rPr>
          <w:rFonts w:hint="default" w:ascii="Times New Roman" w:hAnsi="Times New Roman" w:eastAsia="仿宋_GB2312" w:cs="Times New Roman"/>
          <w:sz w:val="32"/>
          <w:szCs w:val="32"/>
          <w:lang w:val="en-US" w:eastAsia="zh-CN"/>
        </w:rPr>
        <w:t>法学博士，澳门科技大学法学院副教授，博士生导师，仲裁与争议解决研究中心主任。兼任中国法学会商法学研究会理事、中国法学会立法学研究会理事，中国人民大学亚太法学研究院校外研究生导师、研究员，中国人民大学亚太法学研究院亚太仲裁研究专业委员会副主任，广州市海珠区琶洲人工智能与数字经济法律服务专家库专家，深圳市蓝海法律查明和商事调解中心境外专家，广东省粤港澳发展促进会法律专业委员会副秘书长，澳门法律工作者联合会副理事长，澳门特区政府消委会消费争议调解及仲裁中心仲裁员，中国人民大学澳门校友会副理事长，受聘中国国际经济贸易仲裁委员会、北京仲裁委、上海仲裁委、上海国际仲裁中心、广州仲裁委、深圳国际仲裁院、珠海国际仲裁院、佛山仲裁委、海南国际仲裁院等二十多家机构仲裁员，曾任广州南沙新区和自贸区法律顾问。</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范铭超：</w:t>
      </w:r>
      <w:r>
        <w:rPr>
          <w:rFonts w:hint="default" w:ascii="Times New Roman" w:hAnsi="Times New Roman" w:eastAsia="仿宋_GB2312" w:cs="Times New Roman"/>
          <w:sz w:val="32"/>
          <w:szCs w:val="32"/>
          <w:lang w:val="en-US" w:eastAsia="zh-CN"/>
        </w:rPr>
        <w:t>上海仲裁委员会常务副主任，华东政法大学博士，英国曼彻斯特大学法学硕士，美国杜克大学富布莱特访问学者，中国体育仲裁委员会委员和专家咨询委员会主任，并接受国际体育仲裁院指定担任第19届杭州亚运会特设仲裁庭仲裁员。在加入上海仲裁委员会之前，曾任国际商会（International Chamber of Commerce, ICC）北亚地区仲裁与ADR主任，辖区覆盖十九个亚洲国家和地区，并担任国际商会仲裁院“一带一路”委员会秘书长。范铭超博士是一位对亚太地区具有丰富经验的仲裁员。在担任国际体育仲裁院（CAS）、新加坡国际仲裁中心、香港国际仲裁中心、韩国商事仲裁院等国际仲裁机构仲裁员的经历中，他作为仲裁员参加了逾200起案件的审理。此外，他曾兼任英国特许仲裁员学会（CIArb.）东亚分会中国大陆委员会主席、中国足球协会仲裁委员会主任委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cs="Times New Roman"/>
          <w:lang w:val="en-US" w:eastAsia="zh-CN"/>
        </w:rPr>
      </w:pPr>
      <w:r>
        <w:rPr>
          <w:rFonts w:hint="default" w:ascii="Times New Roman" w:hAnsi="Times New Roman" w:eastAsia="楷体" w:cs="Times New Roman"/>
          <w:b/>
          <w:bCs/>
          <w:sz w:val="32"/>
          <w:szCs w:val="32"/>
          <w:lang w:val="en-US" w:eastAsia="zh-CN"/>
        </w:rPr>
        <w:t>林北征：</w:t>
      </w:r>
      <w:r>
        <w:rPr>
          <w:rFonts w:hint="default" w:ascii="Times New Roman" w:hAnsi="Times New Roman" w:eastAsia="仿宋_GB2312" w:cs="Times New Roman"/>
          <w:sz w:val="32"/>
          <w:szCs w:val="32"/>
          <w:lang w:val="en-US" w:eastAsia="zh-CN"/>
        </w:rPr>
        <w:t>广州互联网法院法官，研究兴趣为互联网司法、网络法学。在《中国应用法学》《中国司法鉴定》《法治论坛》《光明日报》《学习时报》发表论文、案例14篇，5篇论文获第29-32届全国法院系统学术讨论会论文奖项。其中，《司法区块链的网络诉源治理逻辑、困惑与进路》一文入选北大法宝“区块链必读论文50篇”。作为主执笔人完成最高人民法院、广东高院、广州中院等重大调研课题5项。另有英语译作3篇。作为主要研究成员参与广州互联网法院司法区块链、5G智审卡片等系统论证筹建。</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胡  佳：</w:t>
      </w:r>
      <w:r>
        <w:rPr>
          <w:rFonts w:hint="default" w:ascii="Times New Roman" w:hAnsi="Times New Roman" w:eastAsia="仿宋_GB2312" w:cs="Times New Roman"/>
          <w:sz w:val="32"/>
          <w:szCs w:val="32"/>
          <w:lang w:val="en-US" w:eastAsia="zh-CN"/>
        </w:rPr>
        <w:t>德杰律师事务所顾问，有在香港国际仲裁中心、国际商会仲裁院、新加坡国际仲裁中心、伦敦仲裁院、斯德哥尔摩仲裁院以及贸仲用英语、中文进行仲裁的丰富经验。</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 w:cs="Times New Roman"/>
          <w:b/>
          <w:bCs/>
          <w:sz w:val="32"/>
          <w:szCs w:val="32"/>
          <w:lang w:val="en-US" w:eastAsia="zh-CN"/>
        </w:rPr>
      </w:pPr>
      <w:r>
        <w:rPr>
          <w:rFonts w:hint="default" w:ascii="Times New Roman" w:hAnsi="Times New Roman" w:eastAsia="楷体" w:cs="Times New Roman"/>
          <w:b/>
          <w:bCs/>
          <w:sz w:val="32"/>
          <w:szCs w:val="32"/>
          <w:lang w:val="en-US" w:eastAsia="zh-CN"/>
        </w:rPr>
        <w:t>康亚男：</w:t>
      </w:r>
      <w:r>
        <w:rPr>
          <w:rFonts w:hint="default" w:ascii="Times New Roman" w:hAnsi="Times New Roman" w:eastAsia="仿宋_GB2312" w:cs="Times New Roman"/>
          <w:b w:val="0"/>
          <w:bCs w:val="0"/>
          <w:sz w:val="32"/>
          <w:szCs w:val="32"/>
          <w:lang w:val="en-US" w:eastAsia="zh-CN"/>
        </w:rPr>
        <w:t>2012年取得香港执业大律师资格，并于2021年通过第一届粤港澳大湾区律师执业资格考试。其主要执业领域为公司、商业纠纷，劳资纠纷，跨境诉讼、仲裁以及涉及中国内地元素的案件。曾多次为内地企业和个人在跨境交易和仲裁中提供香港法律意见。作为执业大律师之余，康律师曾在香港城市大学法学院以及北京大学法学院担任客席讲师，教授香港公司法及国际仲裁；并于2021年6月至2022年1月期间担任香港劳资审裁处暂委审裁官。在公共事务方面，康律师担任香港法律专业协进会执委以及香港大律师内地事务委员会委员，致力于推动香港与内地法律专业的沟通交流与合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kern w:val="2"/>
          <w:sz w:val="32"/>
          <w:szCs w:val="24"/>
          <w:lang w:val="en-US" w:eastAsia="zh-CN" w:bidi="ar-SA"/>
        </w:rPr>
      </w:pPr>
      <w:r>
        <w:rPr>
          <w:rFonts w:hint="default" w:ascii="Times New Roman" w:hAnsi="Times New Roman" w:eastAsia="楷体" w:cs="Times New Roman"/>
          <w:b/>
          <w:bCs/>
          <w:kern w:val="2"/>
          <w:sz w:val="32"/>
          <w:szCs w:val="32"/>
          <w:lang w:val="en-US" w:eastAsia="zh-CN" w:bidi="ar-SA"/>
        </w:rPr>
        <w:t>陈少彬：</w:t>
      </w:r>
      <w:r>
        <w:rPr>
          <w:rFonts w:hint="default" w:ascii="Times New Roman" w:hAnsi="Times New Roman" w:eastAsia="仿宋_GB2312" w:cs="Times New Roman"/>
          <w:kern w:val="2"/>
          <w:sz w:val="32"/>
          <w:szCs w:val="32"/>
          <w:lang w:val="en-US" w:eastAsia="zh-CN" w:bidi="ar-SA"/>
        </w:rPr>
        <w:t>香港梁浩然律师事务所有限法律责任合伙的资深顾问律师、首批粤港澳大湾区律师。于1996年毕业于香港大学法律系，1997年取得香港法律专业文凭，1999年成为香港特别行政区执业律师，现时为香港律师会会员、香港婚姻监礼人、香港国际仲裁中心调解员、中国深圳前海合作区人民法院特邀调解员、中国委托公证人，在国际商事仲裁、民商法、公司法、婚姻家庭及继承法等领域具有丰富的执业经验。擅长处理内地与香港特别行政区跨境法律事务。</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肖黄鹤：</w:t>
      </w:r>
      <w:r>
        <w:rPr>
          <w:rFonts w:hint="default" w:ascii="Times New Roman" w:hAnsi="Times New Roman" w:eastAsia="仿宋_GB2312" w:cs="Times New Roman"/>
          <w:sz w:val="32"/>
          <w:szCs w:val="32"/>
          <w:lang w:val="en-US" w:eastAsia="zh-CN"/>
        </w:rPr>
        <w:t>“一带一路”域外法查明（广州）中心主任、广州市汇智蓝天国际法律与商事服务中心副理事长、深圳国际仲裁院仲裁员。先后在汕头市中级人民法院、深圳市龙岗区人民法院、深圳市中级人民法院、深圳市盐田区人民法院、深圳国际仲裁院工作，历任深圳市中级人民法院刑事审判第一庭审判长，深圳市盐田区人民法院党组成员、副院长、审委会委员，深圳市中级人民法院办公室副主任、涉外商事庭副庭长（主持工作）、深圳国际仲裁院联络处处长。</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宋体" w:cs="Times New Roman"/>
          <w:lang w:val="en-US" w:eastAsia="zh-CN"/>
        </w:rPr>
      </w:pPr>
      <w:r>
        <w:rPr>
          <w:rFonts w:hint="default" w:ascii="Times New Roman" w:hAnsi="Times New Roman" w:eastAsia="楷体_GB2312" w:cs="Times New Roman"/>
          <w:b/>
          <w:bCs/>
          <w:sz w:val="32"/>
          <w:szCs w:val="32"/>
          <w:lang w:val="en-US" w:eastAsia="zh-CN"/>
        </w:rPr>
        <w:t>黄善端：</w:t>
      </w:r>
      <w:r>
        <w:rPr>
          <w:rFonts w:hint="default" w:ascii="Times New Roman" w:hAnsi="Times New Roman" w:eastAsia="仿宋_GB2312" w:cs="Times New Roman"/>
          <w:sz w:val="32"/>
          <w:szCs w:val="32"/>
          <w:lang w:val="en-US" w:eastAsia="zh-CN"/>
        </w:rPr>
        <w:t>深圳市政协委员，港籍内地律师、仲裁员。毕业于北京大学，先后取得法学学士（1995年）及民商法法学硕士学位（1999年），为最早期取得内地法律职业资格的香港居民之一，现为香港史蒂文生黄律师事务所高级内地事务经理。长期从事跨境法律事务，先后在香港的英资、美资及本地律师所工作，积累了服务跨国企业、内地国有和民营企业、高净值个人等不同类型客户的丰富经验。先后获最高人民法院及香港特别行政区律政司邀请参与《关于内地与香港特别行政区法院相互认可和执行婚姻家庭民事案件判决的安排》《关于内地与香港特别行政区法院相互认可和执行民商事案件判决的安排》及《关于内地与香港特别行政区法院就仲裁程序相互协助保全的安排》等区际司法协助安排的论证、调研工作；亦曾协助广东省高级人民法院制定粤港澳大湾区规则衔接审判指引、颁布粤港澳大湾区指导案例等工作，并为深圳市司法局完成“粤港澳大湾区多元化纠纷解决及规则衔接”专题研究。为律政司法治教育督导委员会课程和教材设计工作小组成员、全国港澳研究会会员，同时担任深圳市前海一带一路法律服务联合会副秘书长、北京大学法学院香港校友会秘书长等社会公职。</w:t>
      </w:r>
    </w:p>
    <w:p>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 w:cs="Times New Roman"/>
          <w:b/>
          <w:bCs/>
          <w:sz w:val="32"/>
          <w:szCs w:val="32"/>
          <w:lang w:val="en-US" w:eastAsia="zh-CN"/>
        </w:rPr>
      </w:pPr>
      <w:r>
        <w:rPr>
          <w:rFonts w:hint="default" w:ascii="Times New Roman" w:hAnsi="Times New Roman" w:eastAsia="楷体" w:cs="Times New Roman"/>
          <w:b/>
          <w:bCs/>
          <w:sz w:val="32"/>
          <w:szCs w:val="32"/>
          <w:lang w:val="en-US" w:eastAsia="zh-CN"/>
        </w:rPr>
        <w:t>李振宇：</w:t>
      </w:r>
      <w:r>
        <w:rPr>
          <w:rFonts w:hint="default" w:ascii="Times New Roman" w:hAnsi="Times New Roman" w:eastAsia="仿宋_GB2312" w:cs="Times New Roman"/>
          <w:b w:val="0"/>
          <w:bCs w:val="0"/>
          <w:sz w:val="32"/>
          <w:szCs w:val="32"/>
          <w:lang w:val="en-US" w:eastAsia="zh-CN"/>
        </w:rPr>
        <w:t>广东财经大学副教授，法学博士。</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杨  瑛：</w:t>
      </w:r>
      <w:r>
        <w:rPr>
          <w:rFonts w:hint="default" w:ascii="Times New Roman" w:hAnsi="Times New Roman" w:eastAsia="仿宋_GB2312" w:cs="Times New Roman"/>
          <w:sz w:val="32"/>
          <w:szCs w:val="32"/>
          <w:lang w:val="en-US" w:eastAsia="zh-CN"/>
        </w:rPr>
        <w:t xml:space="preserve">广东财经大学副教授，法学博士。 </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张少峰：</w:t>
      </w:r>
      <w:r>
        <w:rPr>
          <w:rFonts w:hint="default" w:ascii="Times New Roman" w:hAnsi="Times New Roman" w:eastAsia="仿宋_GB2312" w:cs="Times New Roman"/>
          <w:sz w:val="32"/>
          <w:szCs w:val="32"/>
          <w:lang w:val="en-US" w:eastAsia="zh-CN"/>
        </w:rPr>
        <w:t>广东财经大学副教授，兼职律师。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张  岚：</w:t>
      </w:r>
      <w:r>
        <w:rPr>
          <w:rFonts w:hint="default" w:ascii="Times New Roman" w:hAnsi="Times New Roman" w:eastAsia="仿宋_GB2312" w:cs="Times New Roman"/>
          <w:sz w:val="32"/>
          <w:szCs w:val="32"/>
          <w:lang w:val="en-US" w:eastAsia="zh-CN"/>
        </w:rPr>
        <w:t>广东财经大学副教授，广州仲裁委仲裁员。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朱  姝：</w:t>
      </w:r>
      <w:r>
        <w:rPr>
          <w:rFonts w:hint="default" w:ascii="Times New Roman" w:hAnsi="Times New Roman" w:eastAsia="仿宋_GB2312" w:cs="Times New Roman"/>
          <w:sz w:val="32"/>
          <w:szCs w:val="32"/>
          <w:lang w:val="en-US" w:eastAsia="zh-CN"/>
        </w:rPr>
        <w:t>广东财经大学副教授，法学博士，仲裁员。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张永毅：</w:t>
      </w:r>
      <w:r>
        <w:rPr>
          <w:rFonts w:hint="default" w:ascii="Times New Roman" w:hAnsi="Times New Roman" w:eastAsia="仿宋_GB2312" w:cs="Times New Roman"/>
          <w:sz w:val="32"/>
          <w:szCs w:val="32"/>
          <w:lang w:val="en-US" w:eastAsia="zh-CN"/>
        </w:rPr>
        <w:t>广东财经大学法学院副</w:t>
      </w:r>
      <w:r>
        <w:rPr>
          <w:rFonts w:hint="eastAsia" w:ascii="Times New Roman" w:hAnsi="Times New Roman" w:eastAsia="仿宋_GB2312" w:cs="Times New Roman"/>
          <w:sz w:val="32"/>
          <w:szCs w:val="32"/>
          <w:lang w:val="en-US" w:eastAsia="zh-CN"/>
        </w:rPr>
        <w:t>教授</w:t>
      </w:r>
      <w:r>
        <w:rPr>
          <w:rFonts w:hint="default" w:ascii="Times New Roman" w:hAnsi="Times New Roman" w:eastAsia="仿宋_GB2312" w:cs="Times New Roman"/>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陈蓁蓁：</w:t>
      </w:r>
      <w:r>
        <w:rPr>
          <w:rFonts w:hint="default" w:ascii="Times New Roman" w:hAnsi="Times New Roman" w:eastAsia="仿宋_GB2312" w:cs="Times New Roman"/>
          <w:sz w:val="32"/>
          <w:szCs w:val="32"/>
          <w:lang w:val="en-US" w:eastAsia="zh-CN"/>
        </w:rPr>
        <w:t>广东财经大学法学院教师，法学博士。</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 w:cs="Times New Roman"/>
          <w:b/>
          <w:bCs/>
          <w:sz w:val="32"/>
          <w:szCs w:val="32"/>
          <w:lang w:val="en-US" w:eastAsia="zh-CN"/>
        </w:rPr>
        <w:t>邹郁卓</w:t>
      </w:r>
      <w:r>
        <w:rPr>
          <w:rFonts w:hint="default" w:ascii="Times New Roman" w:hAnsi="Times New Roman" w:eastAsia="仿宋_GB2312" w:cs="Times New Roman"/>
          <w:sz w:val="32"/>
          <w:szCs w:val="32"/>
          <w:lang w:val="en-US" w:eastAsia="zh-CN"/>
        </w:rPr>
        <w:t>：广东财经大学法学院教师，法学博士。</w:t>
      </w:r>
    </w:p>
    <w:p>
      <w:r>
        <w:rPr>
          <w:rFonts w:hint="default" w:ascii="Times New Roman" w:hAnsi="Times New Roman" w:eastAsia="楷体" w:cs="Times New Roman"/>
          <w:b/>
          <w:bCs/>
          <w:sz w:val="32"/>
          <w:szCs w:val="32"/>
          <w:lang w:val="en-US" w:eastAsia="zh-CN"/>
        </w:rPr>
        <w:t>张肇廷：</w:t>
      </w:r>
      <w:r>
        <w:rPr>
          <w:rFonts w:hint="default" w:ascii="Times New Roman" w:hAnsi="Times New Roman" w:eastAsia="仿宋_GB2312" w:cs="Times New Roman"/>
          <w:sz w:val="32"/>
          <w:szCs w:val="32"/>
          <w:lang w:val="en-US" w:eastAsia="zh-CN"/>
        </w:rPr>
        <w:t>广东财经大学法学院教师，法学博士。</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yMWViZmVkMWFjYTIwNzUwMmYyZWNiN2I2Yjc0ZGEifQ=="/>
  </w:docVars>
  <w:rsids>
    <w:rsidRoot w:val="4DF6793F"/>
    <w:rsid w:val="00BA02CB"/>
    <w:rsid w:val="0F145B57"/>
    <w:rsid w:val="4DF6793F"/>
    <w:rsid w:val="56DB0019"/>
    <w:rsid w:val="5BF94355"/>
    <w:rsid w:val="5CD901EE"/>
    <w:rsid w:val="69346428"/>
    <w:rsid w:val="76A34C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9"/>
    <w:qFormat/>
    <w:uiPriority w:val="0"/>
    <w:pPr>
      <w:keepNext/>
      <w:keepLines/>
      <w:spacing w:beforeLines="0" w:beforeAutospacing="0" w:afterLines="0" w:afterAutospacing="0" w:line="560" w:lineRule="exact"/>
      <w:outlineLvl w:val="1"/>
    </w:pPr>
    <w:rPr>
      <w:rFonts w:eastAsia="黑体"/>
      <w:kern w:val="44"/>
      <w:sz w:val="32"/>
    </w:rPr>
  </w:style>
  <w:style w:type="paragraph" w:styleId="5">
    <w:name w:val="heading 2"/>
    <w:basedOn w:val="1"/>
    <w:next w:val="1"/>
    <w:link w:val="10"/>
    <w:semiHidden/>
    <w:unhideWhenUsed/>
    <w:qFormat/>
    <w:uiPriority w:val="0"/>
    <w:pPr>
      <w:keepNext/>
      <w:keepLines/>
      <w:spacing w:line="560" w:lineRule="exact"/>
      <w:ind w:firstLine="883" w:firstLineChars="200"/>
      <w:outlineLvl w:val="2"/>
    </w:pPr>
    <w:rPr>
      <w:rFonts w:eastAsia="楷体" w:cstheme="majorBidi"/>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unhideWhenUsed/>
    <w:qFormat/>
    <w:uiPriority w:val="99"/>
    <w:pPr>
      <w:spacing w:after="120"/>
      <w:ind w:left="420" w:leftChars="200"/>
    </w:pPr>
  </w:style>
  <w:style w:type="paragraph" w:styleId="6">
    <w:name w:val="Body Text"/>
    <w:basedOn w:val="1"/>
    <w:qFormat/>
    <w:uiPriority w:val="0"/>
    <w:pPr>
      <w:spacing w:after="120" w:afterLines="0" w:afterAutospacing="0"/>
    </w:pPr>
  </w:style>
  <w:style w:type="character" w:customStyle="1" w:styleId="9">
    <w:name w:val="标题 1 Char"/>
    <w:link w:val="4"/>
    <w:qFormat/>
    <w:uiPriority w:val="0"/>
    <w:rPr>
      <w:rFonts w:eastAsia="黑体"/>
      <w:kern w:val="44"/>
      <w:sz w:val="32"/>
    </w:rPr>
  </w:style>
  <w:style w:type="character" w:customStyle="1" w:styleId="10">
    <w:name w:val="标题 2 字符"/>
    <w:basedOn w:val="8"/>
    <w:link w:val="5"/>
    <w:qFormat/>
    <w:uiPriority w:val="99"/>
    <w:rPr>
      <w:rFonts w:ascii="Times New Roman" w:hAnsi="Times New Roman" w:eastAsia="楷体" w:cstheme="majorBidi"/>
      <w:sz w:val="32"/>
      <w:szCs w:val="32"/>
    </w:rPr>
  </w:style>
  <w:style w:type="paragraph" w:customStyle="1" w:styleId="11">
    <w:name w:val="1级标题"/>
    <w:basedOn w:val="1"/>
    <w:qFormat/>
    <w:uiPriority w:val="0"/>
    <w:pPr>
      <w:snapToGrid w:val="0"/>
      <w:spacing w:line="560" w:lineRule="exact"/>
      <w:jc w:val="left"/>
      <w:outlineLvl w:val="1"/>
    </w:pPr>
    <w:rPr>
      <w:rFonts w:ascii="仿宋" w:hAnsi="仿宋" w:eastAsia="黑体" w:cstheme="minorBidi"/>
      <w:color w:val="000000" w:themeColor="text1"/>
      <w:kern w:val="2"/>
      <w:szCs w:val="32"/>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2023-12-25T01:42:00Z</dcterms:created>
  <dc:creator>调研部</dc:creator>
  <cp:lastModifiedBy>调研部</cp:lastModifiedBy>
  <dcterms:modified xsi:type="dcterms:W3CDTF">2023-12-25T01:43:24Z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0FCF040830A64823A1A1E3AB51A284B0_11</vt:lpwstr>
  </property>
</Properties>
</file>