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300C47">
      <w:pPr>
        <w:rPr>
          <w:rFonts w:ascii="等线 Light" w:hAnsi="等线 Light" w:eastAsia="等线 Light"/>
        </w:rPr>
        <w:sectPr>
          <w:headerReference r:id="rId3" w:type="default"/>
          <w:footerReference r:id="rId4" w:type="default"/>
          <w:pgSz w:w="11906" w:h="16838"/>
          <w:pgMar w:top="1440" w:right="1800" w:bottom="1440" w:left="1800" w:header="851" w:footer="992" w:gutter="0"/>
          <w:cols w:space="425" w:num="1"/>
          <w:docGrid w:type="lines" w:linePitch="312" w:charSpace="0"/>
        </w:sectPr>
      </w:pPr>
      <w:r>
        <w:rPr>
          <w:rFonts w:hint="eastAsia" w:ascii="等线 Light" w:hAnsi="等线 Light" w:eastAsia="等线 Light"/>
        </w:rPr>
        <w:drawing>
          <wp:anchor distT="0" distB="0" distL="0" distR="0" simplePos="0" relativeHeight="251659264" behindDoc="0" locked="0" layoutInCell="1" allowOverlap="1">
            <wp:simplePos x="0" y="0"/>
            <wp:positionH relativeFrom="column">
              <wp:posOffset>0</wp:posOffset>
            </wp:positionH>
            <wp:positionV relativeFrom="paragraph">
              <wp:posOffset>0</wp:posOffset>
            </wp:positionV>
            <wp:extent cx="5266690" cy="7901940"/>
            <wp:effectExtent l="0" t="0" r="16510" b="22860"/>
            <wp:wrapNone/>
            <wp:docPr id="1026" name="http://photo-static-api.fotomore.com/creative/vcg/400/new/VCG211326866389.jpg?uid=386&amp;timestamp=1719195119&amp;sign=229da9d134bac7cfc6e082b437a3eeb9" descr="&amp;pky230_sjzg_VCG211326866389&amp;2&amp;src_pictool_inpsrchrc1&amp;"/>
            <wp:cNvGraphicFramePr/>
            <a:graphic xmlns:a="http://schemas.openxmlformats.org/drawingml/2006/main">
              <a:graphicData uri="http://schemas.openxmlformats.org/drawingml/2006/picture">
                <pic:pic xmlns:pic="http://schemas.openxmlformats.org/drawingml/2006/picture">
                  <pic:nvPicPr>
                    <pic:cNvPr id="1026" name="http://photo-static-api.fotomore.com/creative/vcg/400/new/VCG211326866389.jpg?uid=386&amp;timestamp=1719195119&amp;sign=229da9d134bac7cfc6e082b437a3eeb9" descr="&amp;pky230_sjzg_VCG211326866389&amp;2&amp;src_pictool_inpsrchrc1&amp;"/>
                    <pic:cNvPicPr/>
                  </pic:nvPicPr>
                  <pic:blipFill>
                    <a:blip r:embed="rId7" cstate="print"/>
                    <a:srcRect/>
                    <a:stretch>
                      <a:fillRect/>
                    </a:stretch>
                  </pic:blipFill>
                  <pic:spPr>
                    <a:xfrm>
                      <a:off x="0" y="0"/>
                      <a:ext cx="5266690" cy="7901940"/>
                    </a:xfrm>
                    <a:prstGeom prst="rect">
                      <a:avLst/>
                    </a:prstGeom>
                  </pic:spPr>
                </pic:pic>
              </a:graphicData>
            </a:graphic>
          </wp:anchor>
        </w:drawing>
      </w:r>
      <w:r>
        <w:rPr>
          <w:rFonts w:hint="eastAsia" w:ascii="等线 Light" w:hAnsi="等线 Light" w:eastAsia="等线 Light"/>
          <w:color w:val="006699"/>
        </w:rPr>
        <w:drawing>
          <wp:anchor distT="0" distB="0" distL="0" distR="0" simplePos="0" relativeHeight="251660288" behindDoc="0" locked="0" layoutInCell="1" allowOverlap="1">
            <wp:simplePos x="0" y="0"/>
            <wp:positionH relativeFrom="column">
              <wp:posOffset>4250055</wp:posOffset>
            </wp:positionH>
            <wp:positionV relativeFrom="paragraph">
              <wp:posOffset>5715</wp:posOffset>
            </wp:positionV>
            <wp:extent cx="988695" cy="988060"/>
            <wp:effectExtent l="0" t="0" r="1905" b="2540"/>
            <wp:wrapNone/>
            <wp:docPr id="1027" name="图片 2" descr="C:/Users/54119/AppData/Local/Temp/kaimatting/20220221211430/output_aiMatting_20220221211831.pngoutput_aiMatting_20220221211831"/>
            <wp:cNvGraphicFramePr/>
            <a:graphic xmlns:a="http://schemas.openxmlformats.org/drawingml/2006/main">
              <a:graphicData uri="http://schemas.openxmlformats.org/drawingml/2006/picture">
                <pic:pic xmlns:pic="http://schemas.openxmlformats.org/drawingml/2006/picture">
                  <pic:nvPicPr>
                    <pic:cNvPr id="1027" name="图片 2" descr="C:/Users/54119/AppData/Local/Temp/kaimatting/20220221211430/output_aiMatting_20220221211831.pngoutput_aiMatting_20220221211831"/>
                    <pic:cNvPicPr/>
                  </pic:nvPicPr>
                  <pic:blipFill>
                    <a:blip r:embed="rId8" cstate="print"/>
                    <a:srcRect/>
                    <a:stretch>
                      <a:fillRect/>
                    </a:stretch>
                  </pic:blipFill>
                  <pic:spPr>
                    <a:xfrm>
                      <a:off x="0" y="0"/>
                      <a:ext cx="988695" cy="988060"/>
                    </a:xfrm>
                    <a:prstGeom prst="rect">
                      <a:avLst/>
                    </a:prstGeom>
                    <a:ln>
                      <a:noFill/>
                    </a:ln>
                  </pic:spPr>
                </pic:pic>
              </a:graphicData>
            </a:graphic>
          </wp:anchor>
        </w:drawing>
      </w:r>
      <w:r>
        <w:rPr>
          <w:rFonts w:ascii="等线 Light" w:hAnsi="等线 Light" w:eastAsia="等线 Light"/>
          <w:color w:val="006699"/>
        </w:rPr>
        <mc:AlternateContent>
          <mc:Choice Requires="wps">
            <w:drawing>
              <wp:anchor distT="0" distB="0" distL="0" distR="0" simplePos="0" relativeHeight="251660288" behindDoc="0" locked="0" layoutInCell="1" allowOverlap="1">
                <wp:simplePos x="0" y="0"/>
                <wp:positionH relativeFrom="column">
                  <wp:posOffset>798195</wp:posOffset>
                </wp:positionH>
                <wp:positionV relativeFrom="paragraph">
                  <wp:posOffset>3280410</wp:posOffset>
                </wp:positionV>
                <wp:extent cx="3949065" cy="1426845"/>
                <wp:effectExtent l="6350" t="6350" r="45085" b="40005"/>
                <wp:wrapNone/>
                <wp:docPr id="1028" name="文本框 8"/>
                <wp:cNvGraphicFramePr/>
                <a:graphic xmlns:a="http://schemas.openxmlformats.org/drawingml/2006/main">
                  <a:graphicData uri="http://schemas.microsoft.com/office/word/2010/wordprocessingShape">
                    <wps:wsp>
                      <wps:cNvSpPr/>
                      <wps:spPr>
                        <a:xfrm>
                          <a:off x="0" y="0"/>
                          <a:ext cx="3949065" cy="1426845"/>
                        </a:xfrm>
                        <a:prstGeom prst="rect">
                          <a:avLst/>
                        </a:prstGeom>
                        <a:ln w="12700" cap="flat" cmpd="sng">
                          <a:solidFill>
                            <a:srgbClr val="5B9BD5"/>
                          </a:solidFill>
                          <a:prstDash val="solid"/>
                          <a:miter/>
                          <a:headEnd type="none" w="med" len="med"/>
                          <a:tailEnd type="none" w="med" len="med"/>
                        </a:ln>
                        <a:effectLst>
                          <a:outerShdw dist="38100" dir="2699999" algn="tl" rotWithShape="0">
                            <a:srgbClr val="000000">
                              <a:alpha val="39999"/>
                            </a:srgbClr>
                          </a:outerShdw>
                        </a:effectLst>
                      </wps:spPr>
                      <wps:txbx>
                        <w:txbxContent>
                          <w:p w14:paraId="569F14C3">
                            <w:pPr>
                              <w:jc w:val="center"/>
                              <w:rPr>
                                <w:rFonts w:ascii="华文新魏" w:hAnsi="微软雅黑" w:eastAsia="华文新魏"/>
                                <w:b/>
                                <w:color w:val="FEFEFE"/>
                                <w:sz w:val="72"/>
                                <w:szCs w:val="72"/>
                                <w14:glow w14:rad="38100">
                                  <w14:srgbClr w14:val="5B9BD5">
                                    <w14:alpha w14:val="60001"/>
                                  </w14:srgbClr>
                                </w14:glow>
                                <w14:textOutline w14:w="9525" w14:cap="flat" w14:cmpd="sng" w14:algn="ctr">
                                  <w14:solidFill>
                                    <w14:srgbClr w14:val="5B9BD5"/>
                                  </w14:solidFill>
                                  <w14:prstDash w14:val="solid"/>
                                  <w14:round/>
                                </w14:textOutline>
                                <w14:props3d w14:extrusionH="0" w14:contourW="0" w14:prstMaterial="clear"/>
                              </w:rPr>
                            </w:pPr>
                            <w:r>
                              <w:rPr>
                                <w:rFonts w:hint="eastAsia" w:ascii="华文新魏" w:hAnsi="微软雅黑" w:eastAsia="华文新魏"/>
                                <w:b/>
                                <w:color w:val="FEFEFE"/>
                                <w:sz w:val="72"/>
                                <w:szCs w:val="72"/>
                                <w14:glow w14:rad="38100">
                                  <w14:srgbClr w14:val="5B9BD5">
                                    <w14:alpha w14:val="60001"/>
                                  </w14:srgbClr>
                                </w14:glow>
                                <w14:textOutline w14:w="9525" w14:cap="flat" w14:cmpd="sng" w14:algn="ctr">
                                  <w14:solidFill>
                                    <w14:srgbClr w14:val="5B9BD5"/>
                                  </w14:solidFill>
                                  <w14:prstDash w14:val="solid"/>
                                  <w14:round/>
                                </w14:textOutline>
                                <w14:props3d w14:extrusionH="0" w14:contourW="0" w14:prstMaterial="clear"/>
                              </w:rPr>
                              <w:t>影视传媒法律资讯</w:t>
                            </w:r>
                          </w:p>
                          <w:p w14:paraId="7AA51034">
                            <w:pPr>
                              <w:jc w:val="center"/>
                              <w:rPr>
                                <w:b/>
                                <w:color w:val="FEFEFE"/>
                                <w:sz w:val="36"/>
                                <w:szCs w:val="36"/>
                                <w14:glow w14:rad="38100">
                                  <w14:srgbClr w14:val="5B9BD5">
                                    <w14:alpha w14:val="60001"/>
                                  </w14:srgbClr>
                                </w14:glow>
                                <w14:textOutline w14:w="9525" w14:cap="flat" w14:cmpd="sng" w14:algn="ctr">
                                  <w14:solidFill>
                                    <w14:srgbClr w14:val="5B9BD5"/>
                                  </w14:solidFill>
                                  <w14:prstDash w14:val="solid"/>
                                  <w14:round/>
                                </w14:textOutline>
                                <w14:props3d w14:extrusionH="0" w14:contourW="0" w14:prstMaterial="clear"/>
                              </w:rPr>
                            </w:pPr>
                            <w:r>
                              <w:rPr>
                                <w:rFonts w:hint="eastAsia" w:ascii="华文新魏" w:eastAsia="华文新魏"/>
                                <w:b/>
                                <w:color w:val="FEFEFE"/>
                                <w:sz w:val="36"/>
                                <w:szCs w:val="36"/>
                                <w14:glow w14:rad="38100">
                                  <w14:srgbClr w14:val="5B9BD5">
                                    <w14:alpha w14:val="60001"/>
                                  </w14:srgbClr>
                                </w14:glow>
                                <w14:textOutline w14:w="9525" w14:cap="flat" w14:cmpd="sng" w14:algn="ctr">
                                  <w14:solidFill>
                                    <w14:srgbClr w14:val="5B9BD5"/>
                                  </w14:solidFill>
                                  <w14:prstDash w14:val="solid"/>
                                  <w14:round/>
                                </w14:textOutline>
                                <w14:props3d w14:extrusionH="0" w14:contourW="0" w14:prstMaterial="clear"/>
                              </w:rPr>
                              <w:t>202</w:t>
                            </w:r>
                            <w:r>
                              <w:rPr>
                                <w:rFonts w:hint="eastAsia" w:ascii="华文新魏" w:eastAsia="华文新魏"/>
                                <w:b/>
                                <w:color w:val="FEFEFE"/>
                                <w:sz w:val="36"/>
                                <w:szCs w:val="36"/>
                                <w:lang w:val="en-US" w:eastAsia="zh-CN"/>
                                <w14:glow w14:rad="38100">
                                  <w14:srgbClr w14:val="5B9BD5">
                                    <w14:alpha w14:val="60001"/>
                                  </w14:srgbClr>
                                </w14:glow>
                                <w14:textOutline w14:w="9525" w14:cap="flat" w14:cmpd="sng" w14:algn="ctr">
                                  <w14:solidFill>
                                    <w14:srgbClr w14:val="5B9BD5"/>
                                  </w14:solidFill>
                                  <w14:prstDash w14:val="solid"/>
                                  <w14:round/>
                                </w14:textOutline>
                                <w14:props3d w14:extrusionH="0" w14:contourW="0" w14:prstMaterial="clear"/>
                              </w:rPr>
                              <w:t>6</w:t>
                            </w:r>
                            <w:r>
                              <w:rPr>
                                <w:rFonts w:hint="eastAsia" w:ascii="华文新魏" w:eastAsia="华文新魏"/>
                                <w:b/>
                                <w:color w:val="FEFEFE"/>
                                <w:sz w:val="36"/>
                                <w:szCs w:val="36"/>
                                <w14:glow w14:rad="38100">
                                  <w14:srgbClr w14:val="5B9BD5">
                                    <w14:alpha w14:val="60001"/>
                                  </w14:srgbClr>
                                </w14:glow>
                                <w14:textOutline w14:w="9525" w14:cap="flat" w14:cmpd="sng" w14:algn="ctr">
                                  <w14:solidFill>
                                    <w14:srgbClr w14:val="5B9BD5"/>
                                  </w14:solidFill>
                                  <w14:prstDash w14:val="solid"/>
                                  <w14:round/>
                                </w14:textOutline>
                                <w14:props3d w14:extrusionH="0" w14:contourW="0" w14:prstMaterial="clear"/>
                              </w:rPr>
                              <w:t>年</w:t>
                            </w:r>
                            <w:r>
                              <w:rPr>
                                <w:rFonts w:hint="eastAsia" w:ascii="华文新魏" w:eastAsia="华文新魏"/>
                                <w:b/>
                                <w:color w:val="FEFEFE"/>
                                <w:sz w:val="36"/>
                                <w:szCs w:val="36"/>
                                <w:lang w:val="en-US" w:eastAsia="zh-CN"/>
                                <w14:glow w14:rad="38100">
                                  <w14:srgbClr w14:val="5B9BD5">
                                    <w14:alpha w14:val="60001"/>
                                  </w14:srgbClr>
                                </w14:glow>
                                <w14:textOutline w14:w="9525" w14:cap="flat" w14:cmpd="sng" w14:algn="ctr">
                                  <w14:solidFill>
                                    <w14:srgbClr w14:val="5B9BD5"/>
                                  </w14:solidFill>
                                  <w14:prstDash w14:val="solid"/>
                                  <w14:round/>
                                </w14:textOutline>
                                <w14:props3d w14:extrusionH="0" w14:contourW="0" w14:prstMaterial="clear"/>
                              </w:rPr>
                              <w:t>2</w:t>
                            </w:r>
                            <w:r>
                              <w:rPr>
                                <w:rFonts w:hint="eastAsia" w:ascii="华文新魏" w:eastAsia="华文新魏"/>
                                <w:b/>
                                <w:color w:val="FEFEFE"/>
                                <w:sz w:val="36"/>
                                <w:szCs w:val="36"/>
                                <w14:glow w14:rad="38100">
                                  <w14:srgbClr w14:val="5B9BD5">
                                    <w14:alpha w14:val="60001"/>
                                  </w14:srgbClr>
                                </w14:glow>
                                <w14:textOutline w14:w="9525" w14:cap="flat" w14:cmpd="sng" w14:algn="ctr">
                                  <w14:solidFill>
                                    <w14:srgbClr w14:val="5B9BD5"/>
                                  </w14:solidFill>
                                  <w14:prstDash w14:val="solid"/>
                                  <w14:round/>
                                </w14:textOutline>
                                <w14:props3d w14:extrusionH="0" w14:contourW="0" w14:prstMaterial="clear"/>
                              </w:rPr>
                              <w:t>月号总第4</w:t>
                            </w:r>
                            <w:r>
                              <w:rPr>
                                <w:rFonts w:hint="eastAsia" w:ascii="华文新魏" w:eastAsia="华文新魏"/>
                                <w:b/>
                                <w:color w:val="FEFEFE"/>
                                <w:sz w:val="36"/>
                                <w:szCs w:val="36"/>
                                <w:lang w:val="en-US" w:eastAsia="zh-CN"/>
                                <w14:glow w14:rad="38100">
                                  <w14:srgbClr w14:val="5B9BD5">
                                    <w14:alpha w14:val="60001"/>
                                  </w14:srgbClr>
                                </w14:glow>
                                <w14:textOutline w14:w="9525" w14:cap="flat" w14:cmpd="sng" w14:algn="ctr">
                                  <w14:solidFill>
                                    <w14:srgbClr w14:val="5B9BD5"/>
                                  </w14:solidFill>
                                  <w14:prstDash w14:val="solid"/>
                                  <w14:round/>
                                </w14:textOutline>
                                <w14:props3d w14:extrusionH="0" w14:contourW="0" w14:prstMaterial="clear"/>
                              </w:rPr>
                              <w:t>8</w:t>
                            </w:r>
                            <w:r>
                              <w:rPr>
                                <w:rFonts w:hint="eastAsia" w:ascii="华文新魏" w:eastAsia="华文新魏"/>
                                <w:b/>
                                <w:color w:val="FEFEFE"/>
                                <w:sz w:val="36"/>
                                <w:szCs w:val="36"/>
                                <w14:glow w14:rad="38100">
                                  <w14:srgbClr w14:val="5B9BD5">
                                    <w14:alpha w14:val="60001"/>
                                  </w14:srgbClr>
                                </w14:glow>
                                <w14:textOutline w14:w="9525" w14:cap="flat" w14:cmpd="sng" w14:algn="ctr">
                                  <w14:solidFill>
                                    <w14:srgbClr w14:val="5B9BD5"/>
                                  </w14:solidFill>
                                  <w14:prstDash w14:val="solid"/>
                                  <w14:round/>
                                </w14:textOutline>
                                <w14:props3d w14:extrusionH="0" w14:contourW="0" w14:prstMaterial="clear"/>
                              </w:rPr>
                              <w:t>期</w:t>
                            </w:r>
                          </w:p>
                          <w:p w14:paraId="74BA0CBC"/>
                        </w:txbxContent>
                      </wps:txbx>
                      <wps:bodyPr upright="1"/>
                    </wps:wsp>
                  </a:graphicData>
                </a:graphic>
              </wp:anchor>
            </w:drawing>
          </mc:Choice>
          <mc:Fallback>
            <w:pict>
              <v:rect id="文本框 8" o:spid="_x0000_s1026" o:spt="1" style="position:absolute;left:0pt;margin-left:62.85pt;margin-top:258.3pt;height:112.35pt;width:310.95pt;z-index:251660288;mso-width-relative:page;mso-height-relative:page;" filled="f" stroked="t" coordsize="21600,21600" o:gfxdata="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GZZPLfYAAAACwEAAA8AAAAAAAAA&#10;AQAgAAAAIgAAAGRycy9kb3ducmV2LnhtbFBLAQIUABQAAAAIAIdO4kAvN0mgSgIAAKMEAAAOAAAA&#10;AAAAAAEAIAAAACcBAABkcnMvZTJvRG9jLnhtbFBLBQYAAAAABgAGAFkBAADjBQAAAAA=&#10;">
                <v:fill on="f" focussize="0,0"/>
                <v:stroke weight="1pt" color="#5B9BD5" joinstyle="miter"/>
                <v:imagedata o:title=""/>
                <o:lock v:ext="edit" aspectratio="f"/>
                <v:shadow on="t" color="#000000" opacity="26213f" offset="2.12133858267717pt,2.12133858267717pt" origin="-32768f,-32768f" matrix="65536f,0f,0f,65536f"/>
                <v:textbox>
                  <w:txbxContent>
                    <w:p w14:paraId="569F14C3">
                      <w:pPr>
                        <w:jc w:val="center"/>
                        <w:rPr>
                          <w:rFonts w:ascii="华文新魏" w:hAnsi="微软雅黑" w:eastAsia="华文新魏"/>
                          <w:b/>
                          <w:color w:val="FEFEFE"/>
                          <w:sz w:val="72"/>
                          <w:szCs w:val="72"/>
                          <w14:glow w14:rad="38100">
                            <w14:srgbClr w14:val="5B9BD5">
                              <w14:alpha w14:val="60001"/>
                            </w14:srgbClr>
                          </w14:glow>
                          <w14:textOutline w14:w="9525" w14:cap="flat" w14:cmpd="sng" w14:algn="ctr">
                            <w14:solidFill>
                              <w14:srgbClr w14:val="5B9BD5"/>
                            </w14:solidFill>
                            <w14:prstDash w14:val="solid"/>
                            <w14:round/>
                          </w14:textOutline>
                          <w14:props3d w14:extrusionH="0" w14:contourW="0" w14:prstMaterial="clear"/>
                        </w:rPr>
                      </w:pPr>
                      <w:r>
                        <w:rPr>
                          <w:rFonts w:hint="eastAsia" w:ascii="华文新魏" w:hAnsi="微软雅黑" w:eastAsia="华文新魏"/>
                          <w:b/>
                          <w:color w:val="FEFEFE"/>
                          <w:sz w:val="72"/>
                          <w:szCs w:val="72"/>
                          <w14:glow w14:rad="38100">
                            <w14:srgbClr w14:val="5B9BD5">
                              <w14:alpha w14:val="60001"/>
                            </w14:srgbClr>
                          </w14:glow>
                          <w14:textOutline w14:w="9525" w14:cap="flat" w14:cmpd="sng" w14:algn="ctr">
                            <w14:solidFill>
                              <w14:srgbClr w14:val="5B9BD5"/>
                            </w14:solidFill>
                            <w14:prstDash w14:val="solid"/>
                            <w14:round/>
                          </w14:textOutline>
                          <w14:props3d w14:extrusionH="0" w14:contourW="0" w14:prstMaterial="clear"/>
                        </w:rPr>
                        <w:t>影视传媒法律资讯</w:t>
                      </w:r>
                    </w:p>
                    <w:p w14:paraId="7AA51034">
                      <w:pPr>
                        <w:jc w:val="center"/>
                        <w:rPr>
                          <w:b/>
                          <w:color w:val="FEFEFE"/>
                          <w:sz w:val="36"/>
                          <w:szCs w:val="36"/>
                          <w14:glow w14:rad="38100">
                            <w14:srgbClr w14:val="5B9BD5">
                              <w14:alpha w14:val="60001"/>
                            </w14:srgbClr>
                          </w14:glow>
                          <w14:textOutline w14:w="9525" w14:cap="flat" w14:cmpd="sng" w14:algn="ctr">
                            <w14:solidFill>
                              <w14:srgbClr w14:val="5B9BD5"/>
                            </w14:solidFill>
                            <w14:prstDash w14:val="solid"/>
                            <w14:round/>
                          </w14:textOutline>
                          <w14:props3d w14:extrusionH="0" w14:contourW="0" w14:prstMaterial="clear"/>
                        </w:rPr>
                      </w:pPr>
                      <w:r>
                        <w:rPr>
                          <w:rFonts w:hint="eastAsia" w:ascii="华文新魏" w:eastAsia="华文新魏"/>
                          <w:b/>
                          <w:color w:val="FEFEFE"/>
                          <w:sz w:val="36"/>
                          <w:szCs w:val="36"/>
                          <w14:glow w14:rad="38100">
                            <w14:srgbClr w14:val="5B9BD5">
                              <w14:alpha w14:val="60001"/>
                            </w14:srgbClr>
                          </w14:glow>
                          <w14:textOutline w14:w="9525" w14:cap="flat" w14:cmpd="sng" w14:algn="ctr">
                            <w14:solidFill>
                              <w14:srgbClr w14:val="5B9BD5"/>
                            </w14:solidFill>
                            <w14:prstDash w14:val="solid"/>
                            <w14:round/>
                          </w14:textOutline>
                          <w14:props3d w14:extrusionH="0" w14:contourW="0" w14:prstMaterial="clear"/>
                        </w:rPr>
                        <w:t>202</w:t>
                      </w:r>
                      <w:r>
                        <w:rPr>
                          <w:rFonts w:hint="eastAsia" w:ascii="华文新魏" w:eastAsia="华文新魏"/>
                          <w:b/>
                          <w:color w:val="FEFEFE"/>
                          <w:sz w:val="36"/>
                          <w:szCs w:val="36"/>
                          <w:lang w:val="en-US" w:eastAsia="zh-CN"/>
                          <w14:glow w14:rad="38100">
                            <w14:srgbClr w14:val="5B9BD5">
                              <w14:alpha w14:val="60001"/>
                            </w14:srgbClr>
                          </w14:glow>
                          <w14:textOutline w14:w="9525" w14:cap="flat" w14:cmpd="sng" w14:algn="ctr">
                            <w14:solidFill>
                              <w14:srgbClr w14:val="5B9BD5"/>
                            </w14:solidFill>
                            <w14:prstDash w14:val="solid"/>
                            <w14:round/>
                          </w14:textOutline>
                          <w14:props3d w14:extrusionH="0" w14:contourW="0" w14:prstMaterial="clear"/>
                        </w:rPr>
                        <w:t>6</w:t>
                      </w:r>
                      <w:r>
                        <w:rPr>
                          <w:rFonts w:hint="eastAsia" w:ascii="华文新魏" w:eastAsia="华文新魏"/>
                          <w:b/>
                          <w:color w:val="FEFEFE"/>
                          <w:sz w:val="36"/>
                          <w:szCs w:val="36"/>
                          <w14:glow w14:rad="38100">
                            <w14:srgbClr w14:val="5B9BD5">
                              <w14:alpha w14:val="60001"/>
                            </w14:srgbClr>
                          </w14:glow>
                          <w14:textOutline w14:w="9525" w14:cap="flat" w14:cmpd="sng" w14:algn="ctr">
                            <w14:solidFill>
                              <w14:srgbClr w14:val="5B9BD5"/>
                            </w14:solidFill>
                            <w14:prstDash w14:val="solid"/>
                            <w14:round/>
                          </w14:textOutline>
                          <w14:props3d w14:extrusionH="0" w14:contourW="0" w14:prstMaterial="clear"/>
                        </w:rPr>
                        <w:t>年</w:t>
                      </w:r>
                      <w:r>
                        <w:rPr>
                          <w:rFonts w:hint="eastAsia" w:ascii="华文新魏" w:eastAsia="华文新魏"/>
                          <w:b/>
                          <w:color w:val="FEFEFE"/>
                          <w:sz w:val="36"/>
                          <w:szCs w:val="36"/>
                          <w:lang w:val="en-US" w:eastAsia="zh-CN"/>
                          <w14:glow w14:rad="38100">
                            <w14:srgbClr w14:val="5B9BD5">
                              <w14:alpha w14:val="60001"/>
                            </w14:srgbClr>
                          </w14:glow>
                          <w14:textOutline w14:w="9525" w14:cap="flat" w14:cmpd="sng" w14:algn="ctr">
                            <w14:solidFill>
                              <w14:srgbClr w14:val="5B9BD5"/>
                            </w14:solidFill>
                            <w14:prstDash w14:val="solid"/>
                            <w14:round/>
                          </w14:textOutline>
                          <w14:props3d w14:extrusionH="0" w14:contourW="0" w14:prstMaterial="clear"/>
                        </w:rPr>
                        <w:t>2</w:t>
                      </w:r>
                      <w:r>
                        <w:rPr>
                          <w:rFonts w:hint="eastAsia" w:ascii="华文新魏" w:eastAsia="华文新魏"/>
                          <w:b/>
                          <w:color w:val="FEFEFE"/>
                          <w:sz w:val="36"/>
                          <w:szCs w:val="36"/>
                          <w14:glow w14:rad="38100">
                            <w14:srgbClr w14:val="5B9BD5">
                              <w14:alpha w14:val="60001"/>
                            </w14:srgbClr>
                          </w14:glow>
                          <w14:textOutline w14:w="9525" w14:cap="flat" w14:cmpd="sng" w14:algn="ctr">
                            <w14:solidFill>
                              <w14:srgbClr w14:val="5B9BD5"/>
                            </w14:solidFill>
                            <w14:prstDash w14:val="solid"/>
                            <w14:round/>
                          </w14:textOutline>
                          <w14:props3d w14:extrusionH="0" w14:contourW="0" w14:prstMaterial="clear"/>
                        </w:rPr>
                        <w:t>月号总第4</w:t>
                      </w:r>
                      <w:r>
                        <w:rPr>
                          <w:rFonts w:hint="eastAsia" w:ascii="华文新魏" w:eastAsia="华文新魏"/>
                          <w:b/>
                          <w:color w:val="FEFEFE"/>
                          <w:sz w:val="36"/>
                          <w:szCs w:val="36"/>
                          <w:lang w:val="en-US" w:eastAsia="zh-CN"/>
                          <w14:glow w14:rad="38100">
                            <w14:srgbClr w14:val="5B9BD5">
                              <w14:alpha w14:val="60001"/>
                            </w14:srgbClr>
                          </w14:glow>
                          <w14:textOutline w14:w="9525" w14:cap="flat" w14:cmpd="sng" w14:algn="ctr">
                            <w14:solidFill>
                              <w14:srgbClr w14:val="5B9BD5"/>
                            </w14:solidFill>
                            <w14:prstDash w14:val="solid"/>
                            <w14:round/>
                          </w14:textOutline>
                          <w14:props3d w14:extrusionH="0" w14:contourW="0" w14:prstMaterial="clear"/>
                        </w:rPr>
                        <w:t>8</w:t>
                      </w:r>
                      <w:r>
                        <w:rPr>
                          <w:rFonts w:hint="eastAsia" w:ascii="华文新魏" w:eastAsia="华文新魏"/>
                          <w:b/>
                          <w:color w:val="FEFEFE"/>
                          <w:sz w:val="36"/>
                          <w:szCs w:val="36"/>
                          <w14:glow w14:rad="38100">
                            <w14:srgbClr w14:val="5B9BD5">
                              <w14:alpha w14:val="60001"/>
                            </w14:srgbClr>
                          </w14:glow>
                          <w14:textOutline w14:w="9525" w14:cap="flat" w14:cmpd="sng" w14:algn="ctr">
                            <w14:solidFill>
                              <w14:srgbClr w14:val="5B9BD5"/>
                            </w14:solidFill>
                            <w14:prstDash w14:val="solid"/>
                            <w14:round/>
                          </w14:textOutline>
                          <w14:props3d w14:extrusionH="0" w14:contourW="0" w14:prstMaterial="clear"/>
                        </w:rPr>
                        <w:t>期</w:t>
                      </w:r>
                    </w:p>
                    <w:p w14:paraId="74BA0CBC"/>
                  </w:txbxContent>
                </v:textbox>
              </v:rect>
            </w:pict>
          </mc:Fallback>
        </mc:AlternateContent>
      </w:r>
    </w:p>
    <w:p w14:paraId="2AEFF1CD">
      <w:pPr>
        <w:jc w:val="center"/>
        <w:rPr>
          <w:rFonts w:ascii="等线 Light" w:hAnsi="等线 Light" w:eastAsia="等线 Light" w:cs="仿宋"/>
          <w:sz w:val="32"/>
          <w:szCs w:val="40"/>
        </w:rPr>
      </w:pPr>
      <w:r>
        <w:rPr>
          <w:rFonts w:hint="eastAsia" w:ascii="等线 Light" w:hAnsi="等线 Light" w:eastAsia="等线 Light" w:cs="仿宋"/>
          <w:b/>
          <w:bCs/>
          <w:sz w:val="30"/>
          <w:szCs w:val="30"/>
        </w:rPr>
        <w:t>目  录</w:t>
      </w:r>
    </w:p>
    <w:p w14:paraId="33EAE070">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pPr>
      <w:r>
        <w:rPr>
          <w:rFonts w:hint="eastAsia" w:ascii="等线 Light" w:hAnsi="等线 Light" w:eastAsia="等线 Light" w:cs="仿宋"/>
          <w:kern w:val="0"/>
          <w:sz w:val="24"/>
        </w:rPr>
        <w:fldChar w:fldCharType="begin"/>
      </w:r>
      <w:r>
        <w:rPr>
          <w:rFonts w:hint="eastAsia" w:ascii="等线 Light" w:hAnsi="等线 Light" w:eastAsia="等线 Light" w:cs="仿宋"/>
          <w:kern w:val="0"/>
          <w:sz w:val="24"/>
        </w:rPr>
        <w:instrText xml:space="preserve">TOC \o "1-2" \h \u </w:instrText>
      </w:r>
      <w:r>
        <w:rPr>
          <w:rFonts w:hint="eastAsia" w:ascii="等线 Light" w:hAnsi="等线 Light" w:eastAsia="等线 Light" w:cs="仿宋"/>
          <w:kern w:val="0"/>
          <w:sz w:val="24"/>
        </w:rPr>
        <w:fldChar w:fldCharType="separate"/>
      </w:r>
      <w:r>
        <w:rPr>
          <w:rFonts w:hint="eastAsia" w:ascii="等线 Light" w:hAnsi="等线 Light" w:eastAsia="等线 Light" w:cs="仿宋"/>
          <w:kern w:val="0"/>
        </w:rPr>
        <w:fldChar w:fldCharType="begin"/>
      </w:r>
      <w:r>
        <w:rPr>
          <w:rFonts w:hint="eastAsia" w:ascii="等线 Light" w:hAnsi="等线 Light" w:eastAsia="等线 Light" w:cs="仿宋"/>
          <w:kern w:val="0"/>
        </w:rPr>
        <w:instrText xml:space="preserve"> HYPERLINK \l _Toc2110715708 </w:instrText>
      </w:r>
      <w:r>
        <w:rPr>
          <w:rFonts w:hint="eastAsia" w:ascii="等线 Light" w:hAnsi="等线 Light" w:eastAsia="等线 Light" w:cs="仿宋"/>
          <w:kern w:val="0"/>
        </w:rPr>
        <w:fldChar w:fldCharType="separate"/>
      </w:r>
      <w:r>
        <w:rPr>
          <w:rFonts w:hint="eastAsia" w:ascii="等线 Light" w:hAnsi="等线 Light" w:eastAsia="等线 Light"/>
          <w:bCs/>
          <w:kern w:val="44"/>
          <w:szCs w:val="44"/>
          <w:highlight w:val="none"/>
        </w:rPr>
        <w:t>行业资讯</w:t>
      </w:r>
      <w:r>
        <w:tab/>
      </w:r>
      <w:r>
        <w:fldChar w:fldCharType="begin"/>
      </w:r>
      <w:r>
        <w:instrText xml:space="preserve"> PAGEREF _Toc2110715708 \h </w:instrText>
      </w:r>
      <w:r>
        <w:fldChar w:fldCharType="separate"/>
      </w:r>
      <w:r>
        <w:t>1</w:t>
      </w:r>
      <w:r>
        <w:fldChar w:fldCharType="end"/>
      </w:r>
      <w:r>
        <w:rPr>
          <w:rFonts w:hint="eastAsia" w:ascii="等线 Light" w:hAnsi="等线 Light" w:eastAsia="等线 Light" w:cs="仿宋"/>
          <w:kern w:val="0"/>
        </w:rPr>
        <w:fldChar w:fldCharType="end"/>
      </w:r>
    </w:p>
    <w:p w14:paraId="49F3E136">
      <w:pPr>
        <w:pStyle w:val="8"/>
        <w:tabs>
          <w:tab w:val="right" w:leader="dot" w:pos="8306"/>
        </w:tabs>
        <w:spacing w:line="480" w:lineRule="auto"/>
      </w:pPr>
      <w:r>
        <w:rPr>
          <w:rFonts w:hint="eastAsia" w:ascii="等线 Light" w:hAnsi="等线 Light" w:eastAsia="等线 Light" w:cs="仿宋"/>
          <w:kern w:val="0"/>
        </w:rPr>
        <w:fldChar w:fldCharType="begin"/>
      </w:r>
      <w:r>
        <w:rPr>
          <w:rFonts w:hint="eastAsia" w:ascii="等线 Light" w:hAnsi="等线 Light" w:eastAsia="等线 Light" w:cs="仿宋"/>
          <w:kern w:val="0"/>
        </w:rPr>
        <w:instrText xml:space="preserve"> HYPERLINK \l _Toc516539563 </w:instrText>
      </w:r>
      <w:r>
        <w:rPr>
          <w:rFonts w:hint="eastAsia" w:ascii="等线 Light" w:hAnsi="等线 Light" w:eastAsia="等线 Light" w:cs="仿宋"/>
          <w:kern w:val="0"/>
        </w:rPr>
        <w:fldChar w:fldCharType="separate"/>
      </w:r>
      <w:r>
        <w:rPr>
          <w:rFonts w:hint="eastAsia" w:ascii="等线 Light" w:hAnsi="等线 Light" w:eastAsia="等线 Light" w:cs="Times New Roman"/>
          <w:bCs/>
          <w:szCs w:val="32"/>
          <w:highlight w:val="none"/>
        </w:rPr>
        <w:t>1.</w:t>
      </w:r>
      <w:r>
        <w:rPr>
          <w:rFonts w:hint="eastAsia" w:ascii="等线 Light" w:hAnsi="等线 Light" w:eastAsia="等线 Light" w:cs="Times New Roman"/>
          <w:bCs/>
          <w:szCs w:val="32"/>
          <w:highlight w:val="none"/>
          <w:lang w:val="en-US" w:eastAsia="zh-CN"/>
        </w:rPr>
        <w:t xml:space="preserve"> 金融监管总局、中央网信办、公安部、中国人民银行、中国证监会关于警惕不法“代理维权”短视频及直播陷阱的风险提示</w:t>
      </w:r>
      <w:r>
        <w:tab/>
      </w:r>
      <w:r>
        <w:fldChar w:fldCharType="begin"/>
      </w:r>
      <w:r>
        <w:instrText xml:space="preserve"> PAGEREF _Toc516539563 \h </w:instrText>
      </w:r>
      <w:r>
        <w:fldChar w:fldCharType="separate"/>
      </w:r>
      <w:r>
        <w:t>1</w:t>
      </w:r>
      <w:r>
        <w:fldChar w:fldCharType="end"/>
      </w:r>
      <w:r>
        <w:rPr>
          <w:rFonts w:hint="eastAsia" w:ascii="等线 Light" w:hAnsi="等线 Light" w:eastAsia="等线 Light" w:cs="仿宋"/>
          <w:kern w:val="0"/>
        </w:rPr>
        <w:fldChar w:fldCharType="end"/>
      </w:r>
    </w:p>
    <w:p w14:paraId="25338EDE">
      <w:pPr>
        <w:pStyle w:val="8"/>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pPr>
      <w:r>
        <w:rPr>
          <w:rFonts w:hint="eastAsia" w:ascii="等线 Light" w:hAnsi="等线 Light" w:eastAsia="等线 Light" w:cs="仿宋"/>
          <w:kern w:val="0"/>
        </w:rPr>
        <w:fldChar w:fldCharType="begin"/>
      </w:r>
      <w:r>
        <w:rPr>
          <w:rFonts w:hint="eastAsia" w:ascii="等线 Light" w:hAnsi="等线 Light" w:eastAsia="等线 Light" w:cs="仿宋"/>
          <w:kern w:val="0"/>
        </w:rPr>
        <w:instrText xml:space="preserve"> HYPERLINK \l _Toc1351534167 </w:instrText>
      </w:r>
      <w:r>
        <w:rPr>
          <w:rFonts w:hint="eastAsia" w:ascii="等线 Light" w:hAnsi="等线 Light" w:eastAsia="等线 Light" w:cs="仿宋"/>
          <w:kern w:val="0"/>
        </w:rPr>
        <w:fldChar w:fldCharType="separate"/>
      </w:r>
      <w:r>
        <w:rPr>
          <w:rFonts w:hint="eastAsia" w:ascii="等线 Light" w:hAnsi="等线 Light" w:eastAsia="等线 Light" w:cs="Times New Roman"/>
          <w:bCs/>
          <w:szCs w:val="32"/>
          <w:highlight w:val="none"/>
          <w:lang w:val="en-US" w:eastAsia="zh-CN"/>
        </w:rPr>
        <w:t>2</w:t>
      </w:r>
      <w:r>
        <w:rPr>
          <w:rFonts w:hint="eastAsia" w:ascii="等线 Light" w:hAnsi="等线 Light" w:eastAsia="等线 Light" w:cs="Times New Roman"/>
          <w:bCs/>
          <w:szCs w:val="32"/>
          <w:highlight w:val="none"/>
        </w:rPr>
        <w:t>.</w:t>
      </w:r>
      <w:r>
        <w:rPr>
          <w:rFonts w:hint="eastAsia" w:ascii="等线 Light" w:hAnsi="等线 Light" w:eastAsia="等线 Light" w:cs="Times New Roman"/>
          <w:bCs/>
          <w:szCs w:val="32"/>
          <w:highlight w:val="none"/>
          <w:lang w:val="en-US" w:eastAsia="zh-CN"/>
        </w:rPr>
        <w:t xml:space="preserve"> </w:t>
      </w:r>
      <w:r>
        <w:rPr>
          <w:rFonts w:hint="eastAsia" w:ascii="等线 Light" w:hAnsi="等线 Light" w:eastAsia="等线 Light" w:cs="Times New Roman"/>
          <w:bCs/>
          <w:szCs w:val="32"/>
          <w:highlight w:val="none"/>
        </w:rPr>
        <w:t>网信部门从严整治传播无AI标识的虚假不实信息问题</w:t>
      </w:r>
      <w:r>
        <w:tab/>
      </w:r>
      <w:r>
        <w:rPr>
          <w:rFonts w:hint="eastAsia"/>
          <w:lang w:val="en-US" w:eastAsia="zh-CN"/>
        </w:rPr>
        <w:t>4</w:t>
      </w:r>
      <w:r>
        <w:rPr>
          <w:rFonts w:hint="eastAsia" w:ascii="等线 Light" w:hAnsi="等线 Light" w:eastAsia="等线 Light" w:cs="仿宋"/>
          <w:kern w:val="0"/>
        </w:rPr>
        <w:fldChar w:fldCharType="end"/>
      </w:r>
    </w:p>
    <w:p w14:paraId="3A64023F">
      <w:pPr>
        <w:pStyle w:val="8"/>
        <w:tabs>
          <w:tab w:val="right" w:leader="dot" w:pos="8306"/>
        </w:tabs>
        <w:spacing w:line="480" w:lineRule="auto"/>
      </w:pPr>
      <w:r>
        <w:rPr>
          <w:rFonts w:hint="eastAsia" w:ascii="等线 Light" w:hAnsi="等线 Light" w:eastAsia="等线 Light" w:cs="仿宋"/>
          <w:kern w:val="0"/>
        </w:rPr>
        <w:fldChar w:fldCharType="begin"/>
      </w:r>
      <w:r>
        <w:rPr>
          <w:rFonts w:hint="eastAsia" w:ascii="等线 Light" w:hAnsi="等线 Light" w:eastAsia="等线 Light" w:cs="仿宋"/>
          <w:kern w:val="0"/>
        </w:rPr>
        <w:instrText xml:space="preserve"> HYPERLINK \l _Toc1300210450 </w:instrText>
      </w:r>
      <w:r>
        <w:rPr>
          <w:rFonts w:hint="eastAsia" w:ascii="等线 Light" w:hAnsi="等线 Light" w:eastAsia="等线 Light" w:cs="仿宋"/>
          <w:kern w:val="0"/>
        </w:rPr>
        <w:fldChar w:fldCharType="separate"/>
      </w:r>
      <w:r>
        <w:rPr>
          <w:rFonts w:hint="eastAsia" w:ascii="等线 Light" w:hAnsi="等线 Light" w:eastAsia="等线 Light" w:cs="Times New Roman"/>
          <w:bCs/>
          <w:szCs w:val="32"/>
          <w:highlight w:val="none"/>
          <w:lang w:val="en-US" w:eastAsia="zh-CN"/>
        </w:rPr>
        <w:t>3</w:t>
      </w:r>
      <w:r>
        <w:rPr>
          <w:rFonts w:hint="eastAsia" w:ascii="等线 Light" w:hAnsi="等线 Light" w:eastAsia="等线 Light" w:cs="Times New Roman"/>
          <w:bCs/>
          <w:szCs w:val="32"/>
          <w:highlight w:val="none"/>
        </w:rPr>
        <w:t>.</w:t>
      </w:r>
      <w:r>
        <w:rPr>
          <w:rFonts w:hint="eastAsia" w:ascii="等线 Light" w:hAnsi="等线 Light" w:eastAsia="等线 Light" w:cs="Times New Roman"/>
          <w:bCs/>
          <w:szCs w:val="32"/>
          <w:highlight w:val="none"/>
          <w:lang w:val="en-US" w:eastAsia="zh-CN"/>
        </w:rPr>
        <w:t xml:space="preserve"> </w:t>
      </w:r>
      <w:r>
        <w:rPr>
          <w:rFonts w:hint="eastAsia" w:ascii="等线 Light" w:hAnsi="等线 Light" w:eastAsia="等线 Light" w:cs="Times New Roman"/>
          <w:bCs/>
          <w:szCs w:val="32"/>
          <w:highlight w:val="none"/>
        </w:rPr>
        <w:t>国家版权局等四部门启动2026年院线电影版权保护专项行动</w:t>
      </w:r>
      <w:r>
        <w:tab/>
      </w:r>
      <w:r>
        <w:rPr>
          <w:rFonts w:hint="eastAsia"/>
          <w:lang w:val="en-US" w:eastAsia="zh-CN"/>
        </w:rPr>
        <w:t>5</w:t>
      </w:r>
      <w:r>
        <w:rPr>
          <w:rFonts w:hint="eastAsia" w:ascii="等线 Light" w:hAnsi="等线 Light" w:eastAsia="等线 Light" w:cs="仿宋"/>
          <w:kern w:val="0"/>
        </w:rPr>
        <w:fldChar w:fldCharType="end"/>
      </w:r>
    </w:p>
    <w:p w14:paraId="613DA86A">
      <w:pPr>
        <w:pStyle w:val="8"/>
        <w:tabs>
          <w:tab w:val="right" w:leader="dot" w:pos="8306"/>
        </w:tabs>
        <w:spacing w:line="480" w:lineRule="auto"/>
      </w:pPr>
      <w:r>
        <w:rPr>
          <w:rFonts w:hint="eastAsia" w:ascii="等线 Light" w:hAnsi="等线 Light" w:eastAsia="等线 Light" w:cs="仿宋"/>
          <w:kern w:val="0"/>
        </w:rPr>
        <w:fldChar w:fldCharType="begin"/>
      </w:r>
      <w:r>
        <w:rPr>
          <w:rFonts w:hint="eastAsia" w:ascii="等线 Light" w:hAnsi="等线 Light" w:eastAsia="等线 Light" w:cs="仿宋"/>
          <w:kern w:val="0"/>
        </w:rPr>
        <w:instrText xml:space="preserve"> HYPERLINK \l _Toc1990924925 </w:instrText>
      </w:r>
      <w:r>
        <w:rPr>
          <w:rFonts w:hint="eastAsia" w:ascii="等线 Light" w:hAnsi="等线 Light" w:eastAsia="等线 Light" w:cs="仿宋"/>
          <w:kern w:val="0"/>
        </w:rPr>
        <w:fldChar w:fldCharType="separate"/>
      </w:r>
      <w:r>
        <w:rPr>
          <w:rFonts w:hint="eastAsia" w:ascii="等线 Light" w:hAnsi="等线 Light" w:eastAsia="等线 Light" w:cs="Times New Roman"/>
          <w:bCs/>
          <w:szCs w:val="32"/>
          <w:highlight w:val="none"/>
          <w:lang w:val="en-US" w:eastAsia="zh-CN"/>
        </w:rPr>
        <w:t>4</w:t>
      </w:r>
      <w:r>
        <w:rPr>
          <w:rFonts w:hint="eastAsia" w:ascii="等线 Light" w:hAnsi="等线 Light" w:eastAsia="等线 Light" w:cs="Times New Roman"/>
          <w:bCs/>
          <w:szCs w:val="32"/>
          <w:highlight w:val="none"/>
        </w:rPr>
        <w:t>.</w:t>
      </w:r>
      <w:r>
        <w:rPr>
          <w:rFonts w:hint="eastAsia" w:ascii="等线 Light" w:hAnsi="等线 Light" w:eastAsia="等线 Light" w:cs="Times New Roman"/>
          <w:bCs/>
          <w:szCs w:val="32"/>
          <w:highlight w:val="none"/>
          <w:lang w:val="en-US" w:eastAsia="zh-CN"/>
        </w:rPr>
        <w:t xml:space="preserve"> </w:t>
      </w:r>
      <w:r>
        <w:rPr>
          <w:rFonts w:hint="eastAsia" w:ascii="等线 Light" w:hAnsi="等线 Light" w:eastAsia="等线 Light" w:cs="Times New Roman"/>
          <w:bCs/>
          <w:szCs w:val="32"/>
          <w:highlight w:val="none"/>
        </w:rPr>
        <w:t>2025年全国网信系统严格规范公正文明执法 护航网信事业高质量发展</w:t>
      </w:r>
      <w:r>
        <w:tab/>
      </w:r>
      <w:r>
        <w:rPr>
          <w:rFonts w:hint="eastAsia"/>
          <w:lang w:val="en-US" w:eastAsia="zh-CN"/>
        </w:rPr>
        <w:t>6</w:t>
      </w:r>
      <w:r>
        <w:rPr>
          <w:rFonts w:hint="eastAsia" w:ascii="等线 Light" w:hAnsi="等线 Light" w:eastAsia="等线 Light" w:cs="仿宋"/>
          <w:kern w:val="0"/>
        </w:rPr>
        <w:fldChar w:fldCharType="end"/>
      </w:r>
    </w:p>
    <w:p w14:paraId="160124CC">
      <w:pPr>
        <w:pStyle w:val="8"/>
        <w:tabs>
          <w:tab w:val="right" w:leader="dot" w:pos="8306"/>
        </w:tabs>
        <w:spacing w:line="480" w:lineRule="auto"/>
      </w:pPr>
      <w:r>
        <w:rPr>
          <w:rFonts w:hint="eastAsia" w:ascii="等线 Light" w:hAnsi="等线 Light" w:eastAsia="等线 Light" w:cs="仿宋"/>
          <w:kern w:val="0"/>
        </w:rPr>
        <w:fldChar w:fldCharType="begin"/>
      </w:r>
      <w:r>
        <w:rPr>
          <w:rFonts w:hint="eastAsia" w:ascii="等线 Light" w:hAnsi="等线 Light" w:eastAsia="等线 Light" w:cs="仿宋"/>
          <w:kern w:val="0"/>
        </w:rPr>
        <w:instrText xml:space="preserve"> HYPERLINK \l _Toc1532510568 </w:instrText>
      </w:r>
      <w:r>
        <w:rPr>
          <w:rFonts w:hint="eastAsia" w:ascii="等线 Light" w:hAnsi="等线 Light" w:eastAsia="等线 Light" w:cs="仿宋"/>
          <w:kern w:val="0"/>
        </w:rPr>
        <w:fldChar w:fldCharType="separate"/>
      </w:r>
      <w:r>
        <w:rPr>
          <w:rFonts w:hint="eastAsia" w:ascii="等线 Light" w:hAnsi="等线 Light" w:eastAsia="等线 Light" w:cs="Times New Roman"/>
          <w:bCs/>
          <w:szCs w:val="32"/>
          <w:highlight w:val="none"/>
          <w:lang w:val="en-US" w:eastAsia="zh-CN"/>
        </w:rPr>
        <w:t>5</w:t>
      </w:r>
      <w:r>
        <w:rPr>
          <w:rFonts w:hint="eastAsia" w:ascii="等线 Light" w:hAnsi="等线 Light" w:eastAsia="等线 Light" w:cs="Times New Roman"/>
          <w:bCs/>
          <w:szCs w:val="32"/>
          <w:highlight w:val="none"/>
        </w:rPr>
        <w:t>.</w:t>
      </w:r>
      <w:r>
        <w:rPr>
          <w:rFonts w:hint="eastAsia" w:ascii="等线 Light" w:hAnsi="等线 Light" w:eastAsia="等线 Light" w:cs="Times New Roman"/>
          <w:bCs/>
          <w:szCs w:val="32"/>
          <w:highlight w:val="none"/>
          <w:lang w:val="en-US" w:eastAsia="zh-CN"/>
        </w:rPr>
        <w:t xml:space="preserve"> </w:t>
      </w:r>
      <w:r>
        <w:rPr>
          <w:rFonts w:hint="eastAsia" w:ascii="等线 Light" w:hAnsi="等线 Light" w:eastAsia="等线 Light" w:cs="Times New Roman"/>
          <w:bCs/>
          <w:szCs w:val="32"/>
          <w:highlight w:val="none"/>
        </w:rPr>
        <w:t>关于保障微短剧行业演职人员合法权益的自律公约</w:t>
      </w:r>
      <w:r>
        <w:tab/>
      </w:r>
      <w:r>
        <w:rPr>
          <w:rFonts w:hint="eastAsia"/>
          <w:lang w:val="en-US" w:eastAsia="zh-CN"/>
        </w:rPr>
        <w:t>9</w:t>
      </w:r>
      <w:r>
        <w:rPr>
          <w:rFonts w:hint="eastAsia" w:ascii="等线 Light" w:hAnsi="等线 Light" w:eastAsia="等线 Light" w:cs="仿宋"/>
          <w:kern w:val="0"/>
        </w:rPr>
        <w:fldChar w:fldCharType="end"/>
      </w:r>
    </w:p>
    <w:p w14:paraId="0AA445A9">
      <w:pPr>
        <w:pStyle w:val="7"/>
        <w:tabs>
          <w:tab w:val="right" w:leader="dot" w:pos="8306"/>
        </w:tabs>
        <w:spacing w:line="480" w:lineRule="auto"/>
        <w:rPr>
          <w:rFonts w:hint="eastAsia" w:eastAsia="等线 Light"/>
          <w:lang w:val="en-US" w:eastAsia="zh-CN"/>
        </w:rPr>
      </w:pPr>
      <w:r>
        <w:rPr>
          <w:rFonts w:hint="eastAsia" w:ascii="等线 Light" w:hAnsi="等线 Light" w:eastAsia="等线 Light" w:cs="仿宋"/>
          <w:kern w:val="0"/>
        </w:rPr>
        <w:fldChar w:fldCharType="begin"/>
      </w:r>
      <w:r>
        <w:rPr>
          <w:rFonts w:hint="eastAsia" w:ascii="等线 Light" w:hAnsi="等线 Light" w:eastAsia="等线 Light" w:cs="仿宋"/>
          <w:kern w:val="0"/>
        </w:rPr>
        <w:instrText xml:space="preserve"> HYPERLINK \l _Toc2133737905 </w:instrText>
      </w:r>
      <w:r>
        <w:rPr>
          <w:rFonts w:hint="eastAsia" w:ascii="等线 Light" w:hAnsi="等线 Light" w:eastAsia="等线 Light" w:cs="仿宋"/>
          <w:kern w:val="0"/>
        </w:rPr>
        <w:fldChar w:fldCharType="separate"/>
      </w:r>
      <w:r>
        <w:rPr>
          <w:rFonts w:hint="eastAsia" w:ascii="等线 Light" w:hAnsi="等线 Light" w:eastAsia="等线 Light"/>
          <w:bCs/>
          <w:kern w:val="44"/>
          <w:szCs w:val="44"/>
          <w:highlight w:val="none"/>
        </w:rPr>
        <w:t>行业动态</w:t>
      </w:r>
      <w:r>
        <w:tab/>
      </w:r>
      <w:r>
        <w:rPr>
          <w:rFonts w:hint="eastAsia"/>
          <w:lang w:val="en-US" w:eastAsia="zh-CN"/>
        </w:rPr>
        <w:t>1</w:t>
      </w:r>
      <w:r>
        <w:rPr>
          <w:rFonts w:hint="eastAsia" w:ascii="等线 Light" w:hAnsi="等线 Light" w:eastAsia="等线 Light" w:cs="仿宋"/>
          <w:kern w:val="0"/>
        </w:rPr>
        <w:fldChar w:fldCharType="end"/>
      </w:r>
      <w:r>
        <w:rPr>
          <w:rFonts w:hint="eastAsia" w:ascii="等线 Light" w:hAnsi="等线 Light" w:eastAsia="等线 Light" w:cs="仿宋"/>
          <w:kern w:val="0"/>
          <w:lang w:val="en-US" w:eastAsia="zh-CN"/>
        </w:rPr>
        <w:t>0</w:t>
      </w:r>
    </w:p>
    <w:p w14:paraId="0E8FC97B">
      <w:pPr>
        <w:pStyle w:val="8"/>
        <w:tabs>
          <w:tab w:val="right" w:leader="dot" w:pos="8306"/>
        </w:tabs>
        <w:spacing w:line="480" w:lineRule="auto"/>
        <w:rPr>
          <w:rFonts w:hint="eastAsia" w:eastAsia="等线 Light"/>
          <w:lang w:val="en-US" w:eastAsia="zh-CN"/>
        </w:rPr>
      </w:pPr>
      <w:r>
        <w:rPr>
          <w:rFonts w:hint="eastAsia" w:ascii="等线 Light" w:hAnsi="等线 Light" w:eastAsia="等线 Light" w:cs="仿宋"/>
          <w:kern w:val="0"/>
        </w:rPr>
        <w:fldChar w:fldCharType="begin"/>
      </w:r>
      <w:r>
        <w:rPr>
          <w:rFonts w:hint="eastAsia" w:ascii="等线 Light" w:hAnsi="等线 Light" w:eastAsia="等线 Light" w:cs="仿宋"/>
          <w:kern w:val="0"/>
        </w:rPr>
        <w:instrText xml:space="preserve"> HYPERLINK \l _Toc903548082 </w:instrText>
      </w:r>
      <w:r>
        <w:rPr>
          <w:rFonts w:hint="eastAsia" w:ascii="等线 Light" w:hAnsi="等线 Light" w:eastAsia="等线 Light" w:cs="仿宋"/>
          <w:kern w:val="0"/>
        </w:rPr>
        <w:fldChar w:fldCharType="separate"/>
      </w:r>
      <w:r>
        <w:rPr>
          <w:rFonts w:hint="eastAsia" w:ascii="等线 Light" w:hAnsi="等线 Light" w:eastAsia="等线 Light" w:cs="Times New Roman"/>
          <w:bCs/>
          <w:szCs w:val="32"/>
          <w:highlight w:val="none"/>
        </w:rPr>
        <w:t>1. 是网络直播“砸蛋开盲盒”，还是开设赌场？</w:t>
      </w:r>
      <w:r>
        <w:tab/>
      </w:r>
      <w:r>
        <w:rPr>
          <w:rFonts w:hint="eastAsia"/>
          <w:lang w:val="en-US" w:eastAsia="zh-CN"/>
        </w:rPr>
        <w:t>1</w:t>
      </w:r>
      <w:r>
        <w:rPr>
          <w:rFonts w:hint="eastAsia" w:ascii="等线 Light" w:hAnsi="等线 Light" w:eastAsia="等线 Light" w:cs="仿宋"/>
          <w:kern w:val="0"/>
        </w:rPr>
        <w:fldChar w:fldCharType="end"/>
      </w:r>
      <w:r>
        <w:rPr>
          <w:rFonts w:hint="eastAsia" w:ascii="等线 Light" w:hAnsi="等线 Light" w:eastAsia="等线 Light" w:cs="仿宋"/>
          <w:kern w:val="0"/>
          <w:lang w:val="en-US" w:eastAsia="zh-CN"/>
        </w:rPr>
        <w:t>1</w:t>
      </w:r>
    </w:p>
    <w:p w14:paraId="04512CE8">
      <w:pPr>
        <w:pStyle w:val="8"/>
        <w:tabs>
          <w:tab w:val="right" w:leader="dot" w:pos="8306"/>
        </w:tabs>
        <w:spacing w:line="480" w:lineRule="auto"/>
        <w:rPr>
          <w:rFonts w:hint="eastAsia"/>
          <w:lang w:val="en-US" w:eastAsia="zh-CN"/>
        </w:rPr>
      </w:pPr>
      <w:r>
        <w:rPr>
          <w:rFonts w:hint="eastAsia" w:ascii="等线 Light" w:hAnsi="等线 Light" w:eastAsia="等线 Light" w:cs="仿宋"/>
          <w:kern w:val="0"/>
        </w:rPr>
        <w:fldChar w:fldCharType="begin"/>
      </w:r>
      <w:r>
        <w:rPr>
          <w:rFonts w:hint="eastAsia" w:ascii="等线 Light" w:hAnsi="等线 Light" w:eastAsia="等线 Light" w:cs="仿宋"/>
          <w:kern w:val="0"/>
        </w:rPr>
        <w:instrText xml:space="preserve"> HYPERLINK \l _Toc1075746237 </w:instrText>
      </w:r>
      <w:r>
        <w:rPr>
          <w:rFonts w:hint="eastAsia" w:ascii="等线 Light" w:hAnsi="等线 Light" w:eastAsia="等线 Light" w:cs="仿宋"/>
          <w:kern w:val="0"/>
        </w:rPr>
        <w:fldChar w:fldCharType="separate"/>
      </w:r>
      <w:r>
        <w:rPr>
          <w:rFonts w:hint="eastAsia" w:ascii="等线 Light" w:hAnsi="等线 Light" w:eastAsia="等线 Light" w:cs="Times New Roman"/>
          <w:bCs/>
          <w:szCs w:val="32"/>
          <w:highlight w:val="none"/>
          <w:lang w:val="en-US" w:eastAsia="zh-CN"/>
        </w:rPr>
        <w:t>2</w:t>
      </w:r>
      <w:r>
        <w:rPr>
          <w:rFonts w:hint="eastAsia" w:ascii="等线 Light" w:hAnsi="等线 Light" w:eastAsia="等线 Light" w:cs="Times New Roman"/>
          <w:bCs/>
          <w:szCs w:val="32"/>
          <w:highlight w:val="none"/>
        </w:rPr>
        <w:t xml:space="preserve">. </w:t>
      </w:r>
      <w:r>
        <w:rPr>
          <w:rFonts w:hint="eastAsia" w:ascii="等线 Light" w:hAnsi="等线 Light" w:eastAsia="等线 Light" w:cs="Times New Roman"/>
          <w:bCs/>
          <w:szCs w:val="32"/>
          <w:highlight w:val="none"/>
          <w:lang w:val="en-US" w:eastAsia="zh-CN"/>
        </w:rPr>
        <w:t>国内首例AI“幻觉”案，给我们提了个醒</w:t>
      </w:r>
      <w:r>
        <w:tab/>
      </w:r>
      <w:r>
        <w:rPr>
          <w:rFonts w:hint="eastAsia"/>
          <w:lang w:val="en-US" w:eastAsia="zh-CN"/>
        </w:rPr>
        <w:t>1</w:t>
      </w:r>
      <w:r>
        <w:rPr>
          <w:rFonts w:hint="eastAsia" w:ascii="等线 Light" w:hAnsi="等线 Light" w:eastAsia="等线 Light" w:cs="仿宋"/>
          <w:kern w:val="0"/>
        </w:rPr>
        <w:fldChar w:fldCharType="end"/>
      </w:r>
      <w:r>
        <w:rPr>
          <w:rFonts w:hint="eastAsia"/>
          <w:lang w:val="en-US" w:eastAsia="zh-CN"/>
        </w:rPr>
        <w:t>4</w:t>
      </w:r>
    </w:p>
    <w:p w14:paraId="40B36E57">
      <w:pPr>
        <w:pStyle w:val="8"/>
        <w:tabs>
          <w:tab w:val="right" w:leader="dot" w:pos="8306"/>
        </w:tabs>
        <w:spacing w:line="480" w:lineRule="auto"/>
        <w:rPr>
          <w:rFonts w:hint="eastAsia" w:eastAsia="等线 Light"/>
          <w:lang w:val="en-US" w:eastAsia="zh-CN"/>
        </w:rPr>
      </w:pPr>
      <w:r>
        <w:rPr>
          <w:rFonts w:hint="eastAsia" w:ascii="等线 Light" w:hAnsi="等线 Light" w:eastAsia="等线 Light" w:cs="仿宋"/>
          <w:kern w:val="0"/>
        </w:rPr>
        <w:fldChar w:fldCharType="begin"/>
      </w:r>
      <w:r>
        <w:rPr>
          <w:rFonts w:hint="eastAsia" w:ascii="等线 Light" w:hAnsi="等线 Light" w:eastAsia="等线 Light" w:cs="仿宋"/>
          <w:kern w:val="0"/>
        </w:rPr>
        <w:instrText xml:space="preserve"> HYPERLINK \l _Toc402181166 </w:instrText>
      </w:r>
      <w:r>
        <w:rPr>
          <w:rFonts w:hint="eastAsia" w:ascii="等线 Light" w:hAnsi="等线 Light" w:eastAsia="等线 Light" w:cs="仿宋"/>
          <w:kern w:val="0"/>
        </w:rPr>
        <w:fldChar w:fldCharType="separate"/>
      </w:r>
      <w:r>
        <w:rPr>
          <w:rFonts w:hint="eastAsia" w:ascii="等线 Light" w:hAnsi="等线 Light" w:eastAsia="等线 Light" w:cs="Times New Roman"/>
          <w:bCs/>
          <w:szCs w:val="32"/>
          <w:highlight w:val="none"/>
          <w:lang w:val="en-US" w:eastAsia="zh-CN"/>
        </w:rPr>
        <w:t>3</w:t>
      </w:r>
      <w:r>
        <w:rPr>
          <w:rFonts w:hint="eastAsia" w:ascii="等线 Light" w:hAnsi="等线 Light" w:eastAsia="等线 Light" w:cs="Times New Roman"/>
          <w:bCs/>
          <w:szCs w:val="32"/>
          <w:highlight w:val="none"/>
        </w:rPr>
        <w:t xml:space="preserve">. </w:t>
      </w:r>
      <w:r>
        <w:rPr>
          <w:rFonts w:hint="eastAsia" w:ascii="等线 Light" w:hAnsi="等线 Light" w:eastAsia="等线 Light" w:cs="Times New Roman"/>
          <w:bCs/>
          <w:szCs w:val="32"/>
          <w:highlight w:val="none"/>
          <w:lang w:val="en-US" w:eastAsia="zh-CN"/>
        </w:rPr>
        <w:t>网信部门对快手平台依法作出处罚</w:t>
      </w:r>
      <w:r>
        <w:tab/>
      </w:r>
      <w:r>
        <w:rPr>
          <w:rFonts w:hint="eastAsia"/>
          <w:lang w:val="en-US" w:eastAsia="zh-CN"/>
        </w:rPr>
        <w:t>1</w:t>
      </w:r>
      <w:r>
        <w:rPr>
          <w:rFonts w:hint="eastAsia" w:ascii="等线 Light" w:hAnsi="等线 Light" w:eastAsia="等线 Light" w:cs="仿宋"/>
          <w:kern w:val="0"/>
        </w:rPr>
        <w:fldChar w:fldCharType="end"/>
      </w:r>
      <w:r>
        <w:rPr>
          <w:rFonts w:hint="eastAsia"/>
          <w:lang w:val="en-US" w:eastAsia="zh-CN"/>
        </w:rPr>
        <w:t>7</w:t>
      </w:r>
    </w:p>
    <w:p w14:paraId="6F0FB108">
      <w:pPr>
        <w:pStyle w:val="8"/>
        <w:tabs>
          <w:tab w:val="right" w:leader="dot" w:pos="8306"/>
        </w:tabs>
        <w:spacing w:line="480" w:lineRule="auto"/>
        <w:rPr>
          <w:rFonts w:hint="eastAsia" w:eastAsia="等线 Light"/>
          <w:lang w:val="en-US" w:eastAsia="zh-CN"/>
        </w:rPr>
      </w:pPr>
      <w:r>
        <w:rPr>
          <w:rFonts w:hint="eastAsia" w:ascii="等线 Light" w:hAnsi="等线 Light" w:eastAsia="等线 Light" w:cs="仿宋"/>
          <w:kern w:val="0"/>
        </w:rPr>
        <w:fldChar w:fldCharType="begin"/>
      </w:r>
      <w:r>
        <w:rPr>
          <w:rFonts w:hint="eastAsia" w:ascii="等线 Light" w:hAnsi="等线 Light" w:eastAsia="等线 Light" w:cs="仿宋"/>
          <w:kern w:val="0"/>
        </w:rPr>
        <w:instrText xml:space="preserve"> HYPERLINK \l _Toc1327819853 </w:instrText>
      </w:r>
      <w:r>
        <w:rPr>
          <w:rFonts w:hint="eastAsia" w:ascii="等线 Light" w:hAnsi="等线 Light" w:eastAsia="等线 Light" w:cs="仿宋"/>
          <w:kern w:val="0"/>
        </w:rPr>
        <w:fldChar w:fldCharType="separate"/>
      </w:r>
      <w:r>
        <w:rPr>
          <w:rFonts w:hint="eastAsia" w:ascii="等线 Light" w:hAnsi="等线 Light" w:eastAsia="等线 Light" w:cs="Times New Roman"/>
          <w:bCs/>
          <w:szCs w:val="32"/>
          <w:highlight w:val="none"/>
          <w:lang w:val="en-US" w:eastAsia="zh-CN"/>
        </w:rPr>
        <w:t>4</w:t>
      </w:r>
      <w:r>
        <w:rPr>
          <w:rFonts w:hint="eastAsia" w:ascii="等线 Light" w:hAnsi="等线 Light" w:eastAsia="等线 Light" w:cs="Times New Roman"/>
          <w:bCs/>
          <w:szCs w:val="32"/>
          <w:highlight w:val="none"/>
        </w:rPr>
        <w:t xml:space="preserve">. </w:t>
      </w:r>
      <w:r>
        <w:rPr>
          <w:rFonts w:hint="eastAsia" w:ascii="等线 Light" w:hAnsi="等线 Light" w:eastAsia="等线 Light" w:cs="Times New Roman"/>
          <w:bCs/>
          <w:szCs w:val="32"/>
          <w:highlight w:val="none"/>
          <w:lang w:val="en-US" w:eastAsia="zh-CN"/>
        </w:rPr>
        <w:t>市场监管总局集中发布第五批直播电商领域典型案例</w:t>
      </w:r>
      <w:r>
        <w:tab/>
      </w:r>
      <w:r>
        <w:rPr>
          <w:rFonts w:hint="eastAsia"/>
          <w:lang w:val="en-US" w:eastAsia="zh-CN"/>
        </w:rPr>
        <w:t>1</w:t>
      </w:r>
      <w:r>
        <w:rPr>
          <w:rFonts w:hint="eastAsia" w:ascii="等线 Light" w:hAnsi="等线 Light" w:eastAsia="等线 Light" w:cs="仿宋"/>
          <w:kern w:val="0"/>
        </w:rPr>
        <w:fldChar w:fldCharType="end"/>
      </w:r>
      <w:r>
        <w:rPr>
          <w:rFonts w:hint="eastAsia"/>
          <w:lang w:val="en-US" w:eastAsia="zh-CN"/>
        </w:rPr>
        <w:t>7</w:t>
      </w:r>
    </w:p>
    <w:p w14:paraId="6BAB1982">
      <w:pPr>
        <w:pStyle w:val="8"/>
        <w:tabs>
          <w:tab w:val="right" w:leader="dot" w:pos="8306"/>
        </w:tabs>
        <w:spacing w:line="480" w:lineRule="auto"/>
        <w:rPr>
          <w:rFonts w:hint="eastAsia"/>
          <w:lang w:val="en-US" w:eastAsia="zh-CN"/>
        </w:rPr>
      </w:pPr>
      <w:r>
        <w:rPr>
          <w:rFonts w:hint="eastAsia" w:ascii="等线 Light" w:hAnsi="等线 Light" w:eastAsia="等线 Light" w:cs="仿宋"/>
          <w:kern w:val="0"/>
        </w:rPr>
        <w:fldChar w:fldCharType="begin"/>
      </w:r>
      <w:r>
        <w:rPr>
          <w:rFonts w:hint="eastAsia" w:ascii="等线 Light" w:hAnsi="等线 Light" w:eastAsia="等线 Light" w:cs="仿宋"/>
          <w:kern w:val="0"/>
        </w:rPr>
        <w:instrText xml:space="preserve"> HYPERLINK \l _Toc18209747 </w:instrText>
      </w:r>
      <w:r>
        <w:rPr>
          <w:rFonts w:hint="eastAsia" w:ascii="等线 Light" w:hAnsi="等线 Light" w:eastAsia="等线 Light" w:cs="仿宋"/>
          <w:kern w:val="0"/>
        </w:rPr>
        <w:fldChar w:fldCharType="separate"/>
      </w:r>
      <w:r>
        <w:rPr>
          <w:rFonts w:hint="eastAsia" w:ascii="等线 Light" w:hAnsi="等线 Light" w:eastAsia="等线 Light" w:cs="Times New Roman"/>
          <w:bCs/>
          <w:szCs w:val="32"/>
          <w:highlight w:val="none"/>
          <w:lang w:val="en-US" w:eastAsia="zh-CN"/>
        </w:rPr>
        <w:t>5</w:t>
      </w:r>
      <w:r>
        <w:rPr>
          <w:rFonts w:hint="eastAsia" w:ascii="等线 Light" w:hAnsi="等线 Light" w:eastAsia="等线 Light" w:cs="Times New Roman"/>
          <w:bCs/>
          <w:szCs w:val="32"/>
          <w:highlight w:val="none"/>
        </w:rPr>
        <w:t xml:space="preserve">. </w:t>
      </w:r>
      <w:r>
        <w:rPr>
          <w:rFonts w:hint="eastAsia" w:ascii="等线 Light" w:hAnsi="等线 Light" w:eastAsia="等线 Light" w:cs="Times New Roman"/>
          <w:bCs/>
          <w:szCs w:val="32"/>
          <w:highlight w:val="none"/>
          <w:lang w:val="en-US" w:eastAsia="zh-CN"/>
        </w:rPr>
        <w:t>虚拟偶像“人肉开盒”的侵权责任认定</w:t>
      </w:r>
      <w:r>
        <w:tab/>
      </w:r>
      <w:r>
        <w:rPr>
          <w:rFonts w:hint="eastAsia"/>
          <w:lang w:val="en-US" w:eastAsia="zh-CN"/>
        </w:rPr>
        <w:t>2</w:t>
      </w:r>
      <w:r>
        <w:rPr>
          <w:rFonts w:hint="eastAsia" w:ascii="等线 Light" w:hAnsi="等线 Light" w:eastAsia="等线 Light" w:cs="仿宋"/>
          <w:kern w:val="0"/>
        </w:rPr>
        <w:fldChar w:fldCharType="end"/>
      </w:r>
      <w:r>
        <w:rPr>
          <w:rFonts w:hint="eastAsia"/>
          <w:lang w:val="en-US" w:eastAsia="zh-CN"/>
        </w:rPr>
        <w:t>1</w:t>
      </w:r>
      <w:bookmarkStart w:id="14" w:name="_GoBack"/>
      <w:bookmarkEnd w:id="14"/>
    </w:p>
    <w:p w14:paraId="5743629F">
      <w:pPr>
        <w:pStyle w:val="7"/>
        <w:tabs>
          <w:tab w:val="right" w:leader="dot" w:pos="8306"/>
        </w:tabs>
        <w:spacing w:line="480" w:lineRule="auto"/>
      </w:pPr>
      <w:r>
        <w:rPr>
          <w:rFonts w:hint="eastAsia" w:ascii="等线 Light" w:hAnsi="等线 Light" w:eastAsia="等线 Light" w:cs="仿宋"/>
          <w:kern w:val="0"/>
        </w:rPr>
        <w:fldChar w:fldCharType="begin"/>
      </w:r>
      <w:r>
        <w:rPr>
          <w:rFonts w:hint="eastAsia" w:ascii="等线 Light" w:hAnsi="等线 Light" w:eastAsia="等线 Light" w:cs="仿宋"/>
          <w:kern w:val="0"/>
        </w:rPr>
        <w:instrText xml:space="preserve"> HYPERLINK \l _Toc1108539955 </w:instrText>
      </w:r>
      <w:r>
        <w:rPr>
          <w:rFonts w:hint="eastAsia" w:ascii="等线 Light" w:hAnsi="等线 Light" w:eastAsia="等线 Light" w:cs="仿宋"/>
          <w:kern w:val="0"/>
        </w:rPr>
        <w:fldChar w:fldCharType="separate"/>
      </w:r>
      <w:r>
        <w:rPr>
          <w:rFonts w:hint="eastAsia" w:ascii="等线 Light" w:hAnsi="等线 Light" w:eastAsia="等线 Light"/>
          <w:bCs/>
          <w:kern w:val="44"/>
          <w:szCs w:val="44"/>
        </w:rPr>
        <w:t>影视传媒委简介</w:t>
      </w:r>
      <w:r>
        <w:tab/>
      </w:r>
      <w:r>
        <w:fldChar w:fldCharType="begin"/>
      </w:r>
      <w:r>
        <w:instrText xml:space="preserve"> PAGEREF _Toc1108539955 \h </w:instrText>
      </w:r>
      <w:r>
        <w:fldChar w:fldCharType="separate"/>
      </w:r>
      <w:r>
        <w:t>1</w:t>
      </w:r>
      <w:r>
        <w:fldChar w:fldCharType="end"/>
      </w:r>
      <w:r>
        <w:rPr>
          <w:rFonts w:hint="eastAsia" w:ascii="等线 Light" w:hAnsi="等线 Light" w:eastAsia="等线 Light" w:cs="仿宋"/>
          <w:kern w:val="0"/>
        </w:rPr>
        <w:fldChar w:fldCharType="end"/>
      </w:r>
    </w:p>
    <w:p w14:paraId="375989E5">
      <w:pPr>
        <w:pStyle w:val="8"/>
        <w:tabs>
          <w:tab w:val="right" w:leader="dot" w:pos="8306"/>
        </w:tabs>
        <w:spacing w:line="480" w:lineRule="auto"/>
      </w:pPr>
      <w:r>
        <w:rPr>
          <w:rFonts w:hint="eastAsia" w:ascii="等线 Light" w:hAnsi="等线 Light" w:eastAsia="等线 Light" w:cs="仿宋"/>
          <w:kern w:val="0"/>
        </w:rPr>
        <w:fldChar w:fldCharType="begin"/>
      </w:r>
      <w:r>
        <w:rPr>
          <w:rFonts w:hint="eastAsia" w:ascii="等线 Light" w:hAnsi="等线 Light" w:eastAsia="等线 Light" w:cs="仿宋"/>
          <w:kern w:val="0"/>
        </w:rPr>
        <w:instrText xml:space="preserve"> HYPERLINK \l _Toc1810385960 </w:instrText>
      </w:r>
      <w:r>
        <w:rPr>
          <w:rFonts w:hint="eastAsia" w:ascii="等线 Light" w:hAnsi="等线 Light" w:eastAsia="等线 Light" w:cs="仿宋"/>
          <w:kern w:val="0"/>
        </w:rPr>
        <w:fldChar w:fldCharType="separate"/>
      </w:r>
      <w:r>
        <w:rPr>
          <w:rFonts w:hint="eastAsia" w:ascii="等线 Light" w:hAnsi="等线 Light" w:eastAsia="等线 Light" w:cs="Times New Roman"/>
          <w:bCs/>
          <w:szCs w:val="32"/>
        </w:rPr>
        <w:t>深圳市律师协会影视传媒法律专业委员会</w:t>
      </w:r>
      <w:r>
        <w:tab/>
      </w:r>
      <w:r>
        <w:fldChar w:fldCharType="begin"/>
      </w:r>
      <w:r>
        <w:instrText xml:space="preserve"> PAGEREF _Toc1810385960 \h </w:instrText>
      </w:r>
      <w:r>
        <w:fldChar w:fldCharType="separate"/>
      </w:r>
      <w:r>
        <w:t>1</w:t>
      </w:r>
      <w:r>
        <w:fldChar w:fldCharType="end"/>
      </w:r>
      <w:r>
        <w:rPr>
          <w:rFonts w:hint="eastAsia" w:ascii="等线 Light" w:hAnsi="等线 Light" w:eastAsia="等线 Light" w:cs="仿宋"/>
          <w:kern w:val="0"/>
        </w:rPr>
        <w:fldChar w:fldCharType="end"/>
      </w:r>
    </w:p>
    <w:p w14:paraId="7C8F0D79">
      <w:pPr>
        <w:pStyle w:val="8"/>
        <w:tabs>
          <w:tab w:val="right" w:leader="dot" w:pos="8306"/>
        </w:tabs>
        <w:spacing w:line="480" w:lineRule="auto"/>
        <w:ind w:left="0" w:leftChars="0"/>
        <w:rPr>
          <w:rFonts w:ascii="等线 Light" w:hAnsi="等线 Light" w:eastAsia="等线 Light" w:cs="仿宋"/>
          <w:b/>
          <w:sz w:val="24"/>
        </w:rPr>
      </w:pPr>
      <w:r>
        <w:rPr>
          <w:rFonts w:hint="eastAsia" w:ascii="等线 Light" w:hAnsi="等线 Light" w:eastAsia="等线 Light" w:cs="仿宋"/>
          <w:kern w:val="0"/>
        </w:rPr>
        <w:fldChar w:fldCharType="end"/>
      </w:r>
    </w:p>
    <w:p w14:paraId="1146F7AA">
      <w:pPr>
        <w:rPr>
          <w:rFonts w:ascii="等线 Light" w:hAnsi="等线 Light" w:eastAsia="等线 Light"/>
          <w:b/>
        </w:rPr>
        <w:sectPr>
          <w:pgSz w:w="11906" w:h="16838"/>
          <w:pgMar w:top="1440" w:right="1800" w:bottom="1440" w:left="1800" w:header="851" w:footer="992" w:gutter="0"/>
          <w:cols w:space="425" w:num="1"/>
          <w:docGrid w:type="lines" w:linePitch="312" w:charSpace="0"/>
        </w:sectPr>
      </w:pPr>
    </w:p>
    <w:p w14:paraId="5BD4CDD1">
      <w:pPr>
        <w:keepNext/>
        <w:keepLines/>
        <w:spacing w:before="340" w:after="330" w:line="576" w:lineRule="auto"/>
        <w:outlineLvl w:val="0"/>
        <w:rPr>
          <w:rFonts w:ascii="等线 Light" w:hAnsi="等线 Light" w:eastAsia="等线 Light"/>
          <w:b/>
          <w:bCs/>
          <w:kern w:val="44"/>
          <w:sz w:val="44"/>
          <w:szCs w:val="44"/>
          <w:highlight w:val="none"/>
        </w:rPr>
      </w:pPr>
      <w:bookmarkStart w:id="0" w:name="_Toc2110715708"/>
      <w:r>
        <w:rPr>
          <w:rFonts w:hint="eastAsia" w:ascii="等线 Light" w:hAnsi="等线 Light" w:eastAsia="等线 Light"/>
          <w:b/>
          <w:bCs/>
          <w:kern w:val="44"/>
          <w:sz w:val="44"/>
          <w:szCs w:val="44"/>
          <w:highlight w:val="none"/>
        </w:rPr>
        <w:t>行业资讯</w:t>
      </w:r>
      <w:bookmarkEnd w:id="0"/>
    </w:p>
    <w:p w14:paraId="5F957705">
      <w:pPr>
        <w:spacing w:line="360" w:lineRule="auto"/>
        <w:rPr>
          <w:rFonts w:hint="eastAsia" w:ascii="等线 Light" w:hAnsi="等线 Light" w:eastAsia="等线 Light" w:cs="Times New Roman"/>
          <w:b/>
          <w:bCs/>
          <w:sz w:val="32"/>
          <w:szCs w:val="32"/>
          <w:highlight w:val="none"/>
        </w:rPr>
      </w:pPr>
      <w:bookmarkStart w:id="1" w:name="_Toc516539563"/>
      <w:r>
        <w:rPr>
          <w:rFonts w:hint="eastAsia" w:ascii="等线 Light" w:hAnsi="等线 Light" w:eastAsia="等线 Light" w:cs="Times New Roman"/>
          <w:b/>
          <w:bCs/>
          <w:sz w:val="32"/>
          <w:szCs w:val="32"/>
          <w:highlight w:val="none"/>
        </w:rPr>
        <w:t>1.</w:t>
      </w:r>
      <w:bookmarkEnd w:id="1"/>
      <w:r>
        <w:rPr>
          <w:rFonts w:hint="eastAsia" w:ascii="等线 Light" w:hAnsi="等线 Light" w:eastAsia="等线 Light" w:cs="Times New Roman"/>
          <w:b/>
          <w:bCs/>
          <w:sz w:val="32"/>
          <w:szCs w:val="32"/>
          <w:highlight w:val="none"/>
        </w:rPr>
        <w:t>金融监管总局、中央网信办、公安部、中国人民银行、中国证监会关于警惕不法“代理维权”短视频及直播陷阱的风险提示</w:t>
      </w:r>
    </w:p>
    <w:p w14:paraId="769A1C3D">
      <w:pPr>
        <w:spacing w:line="360" w:lineRule="auto"/>
        <w:ind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 xml:space="preserve">近期，社会上一些组织和个人通过短视频及直播等自媒体平台违规制作、散布涉及“全额退保”“债务清零”“债务优化”“债务协商”“债务置换”“征信洗白”“投顾退费”等不实短视频，甚至以直播形式传授“技巧”，诱导金融消费者、投资者委托其“代理维权”，从而收取高额咨询费、服务费，以“依法维权”之名行“非法牟利”之实。此类不法“代理维权”短视频、直播传播不实信息，扰乱金融市场秩序，侵害金融消费者、投资者合法权益。为此，金融监管总局、中央网信办、公安部、中国人民银行、中国证监会发布风险提示，提醒广大群众警惕不法“代理维权”侵害，依法理性维权。 </w:t>
      </w:r>
    </w:p>
    <w:p w14:paraId="255A995F">
      <w:pPr>
        <w:numPr>
          <w:ilvl w:val="0"/>
          <w:numId w:val="1"/>
        </w:numPr>
        <w:spacing w:line="360" w:lineRule="auto"/>
        <w:ind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 xml:space="preserve">不法“代理维权”短视频、直播乱象主要特征 </w:t>
      </w:r>
    </w:p>
    <w:p w14:paraId="78A37050">
      <w:pPr>
        <w:numPr>
          <w:ilvl w:val="0"/>
          <w:numId w:val="2"/>
        </w:numPr>
        <w:spacing w:line="360" w:lineRule="auto"/>
        <w:ind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 xml:space="preserve">谎称“监管部门出新政”。此类短视频、直播以监管部门强化监管、出台监管新规为名，以“全额退保”“债务回收清零”“债务置换”“免费代看征信”等为噱头，散布“退保新政”“债务回收试点政策”“全民清债清查五年规划”“洗白大额逾期”“证监会新政，X月退费通道开通”等不实信息混淆视听。部分短视频、直播错误引用甚至有意曲解金融管理部门相关政策规定，让金融消费者、投资者对所谓的“监管新规”深信不疑。还有些短视频将“代理维权”营销信息与监管部门和人员照片以及完全无关的监管政策、财经热点事件进行拼接，打擦边球吸引金融消费者、投资者。 </w:t>
      </w:r>
    </w:p>
    <w:p w14:paraId="5A308D11">
      <w:pPr>
        <w:numPr>
          <w:ilvl w:val="0"/>
          <w:numId w:val="2"/>
        </w:numPr>
        <w:spacing w:line="360" w:lineRule="auto"/>
        <w:ind w:left="0" w:leftChars="0"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 xml:space="preserve">谎称“金融机构有活动”。此类短视频、直播宣称金融机构开展“全额退保”“延期还款”“全民清债”等活动，号称“退保通道已打开”“欠银行的钱可先不还，各大行已开通延迟还款通道”，同时配以金融机构营业场所场景、企业标识等以渲染“真实性”。 </w:t>
      </w:r>
    </w:p>
    <w:p w14:paraId="69060169">
      <w:pPr>
        <w:numPr>
          <w:ilvl w:val="0"/>
          <w:numId w:val="2"/>
        </w:numPr>
        <w:spacing w:line="360" w:lineRule="auto"/>
        <w:ind w:left="0" w:leftChars="0"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宣称“专业律师专业维权”。此类短视频、直播常冠以“专业法律咨询”“律师事务所”等名义，以“普及法律知识”为幌子，向金融消费者、投资者传递“保险业务员代签名即可获取全额退保”“信用卡协商分期有一个万能电话”“可以帮忙与银行协商减免债务”“征信申诉成功”“投顾退费，只需一招，乖乖全额退”等误导信息以及“6天时间拿回5000元机构退费！手把手指导退费全流程”等虚假案例，公开传授全额退保、反催收、征信逾期申诉“维权技巧”，伺机推介“代理维权”服务并收取高额费用。所谓的“律师事务所”，有的则为信息公司或咨询公司实际运作；所谓的“维权技巧”，实为通过缠访缠诉施压，或唆使、协助金融消费者、投资者提供虚假证明材料。 （四）其他煽动性话术。如宣称“股市下跌投顾骗钱”，此类短视频、直播通过“血本无归”“A股股灾”等唱空股市的话术以及投资者亏损的案例进行诱导营销宣传，通过煽动性文案吸引投资者主动联系“代理维权”机构。</w:t>
      </w:r>
    </w:p>
    <w:p w14:paraId="159C8242">
      <w:pPr>
        <w:numPr>
          <w:ilvl w:val="0"/>
          <w:numId w:val="0"/>
        </w:numPr>
        <w:spacing w:line="360" w:lineRule="auto"/>
        <w:ind w:left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 xml:space="preserve">二、风险提示 </w:t>
      </w:r>
    </w:p>
    <w:p w14:paraId="175134BC">
      <w:pPr>
        <w:numPr>
          <w:ilvl w:val="0"/>
          <w:numId w:val="0"/>
        </w:numPr>
        <w:spacing w:line="360" w:lineRule="auto"/>
        <w:ind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 xml:space="preserve">（一）勿听信谣言。“全额退保”“贷款/信用卡不用还”“债务协商”“债务置换”“征信洗白”“投顾费用全退”等均属不实信息，与《保险法》《商业银行法》《证券法》《征信业管理条例》等金融法律法规不符，金融消费者、投资者应通过政策出台部门官方网站、金融机构全国统一客服热线等正规渠道获取信息，通过正规金融机构、正规渠道获取金融服务，勿轻信非官方渠道信息，警惕诱导性营销说辞，避免上当受骗。 </w:t>
      </w:r>
    </w:p>
    <w:p w14:paraId="1690057A">
      <w:pPr>
        <w:numPr>
          <w:ilvl w:val="0"/>
          <w:numId w:val="0"/>
        </w:numPr>
        <w:spacing w:line="360" w:lineRule="auto"/>
        <w:ind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 xml:space="preserve">（二）警惕“代理维权”骗局。不法组织或个人名为“代理维权”，实为伺机牟利。金融消费者、投资者如听信“代理维权”组织和个人的虚假宣传，不仅可能支付高额服务费，如欲中途退出，甚至可能因“违约”而陷入官司。此外，尤其需要关注的是，“代理维权”组织和个人伺机收集金融消费者、投资者手机卡、银行卡以及贷款、信用卡、保单、家庭住址、子女就读学校、身份信息等个人重要信息，此类信息一旦被非法买卖或利用，金融消费者、投资者或将面临电信网络诈骗、信用卡盗刷等风险。金融消费者、投资者如遇金融纠纷，可通过金融机构公布的官方渠道或向金融管理部门反映，也可通过专业调解组织进行调解，或依法通过诉讼、仲裁等方式解决。 </w:t>
      </w:r>
    </w:p>
    <w:p w14:paraId="6D6C3DD1">
      <w:pPr>
        <w:numPr>
          <w:ilvl w:val="0"/>
          <w:numId w:val="0"/>
        </w:numPr>
        <w:spacing w:line="360" w:lineRule="auto"/>
        <w:ind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 xml:space="preserve">（三）共同守护清朗网络空间。“代理维权”组织和个人开展“全额退保”“反催收”“债务优化”“债务协商”“债务置换”“征信洗白”“投顾退费”等虚假宣传并从事代理维权活动，严重扰乱金融市场秩序，涉嫌违反相关法律法规。金融消费者、投资者若发现短视频、直播存在上述违法违规问题，可向网站平台或金融监管、网信、公安部门举报，相关单位将依法依规处理。此外，“代理维权”组织和个人唆使金融消费者、投资者提供虚假材料、恶意逃废债务、发起不实投诉举报向金融机构施压等行为，情节严重的，可能涉嫌违法犯罪。 </w:t>
      </w:r>
    </w:p>
    <w:p w14:paraId="440D42E8">
      <w:pPr>
        <w:numPr>
          <w:ilvl w:val="0"/>
          <w:numId w:val="0"/>
        </w:numPr>
        <w:spacing w:line="360" w:lineRule="auto"/>
        <w:ind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金融消费者、投资者如发现“代理维权”组织或个人涉嫌利用自媒体平台从事违法犯罪活动的，应及时向金融监管部门和公安机关投诉、控告、举报。</w:t>
      </w:r>
    </w:p>
    <w:p w14:paraId="52CD697E">
      <w:pPr>
        <w:spacing w:line="360" w:lineRule="auto"/>
        <w:rPr>
          <w:rFonts w:hint="eastAsia" w:ascii="等线 Light" w:hAnsi="等线 Light" w:eastAsia="等线 Light" w:cs="Times New Roman"/>
          <w:kern w:val="2"/>
          <w:sz w:val="24"/>
          <w:szCs w:val="24"/>
          <w:highlight w:val="none"/>
          <w:lang w:val="en-US" w:eastAsia="zh-CN" w:bidi="ar-SA"/>
        </w:rPr>
      </w:pPr>
    </w:p>
    <w:p w14:paraId="44ECB0BA">
      <w:pPr>
        <w:spacing w:line="360" w:lineRule="auto"/>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来源：网信中国</w:t>
      </w:r>
    </w:p>
    <w:p w14:paraId="43BF4669">
      <w:pPr>
        <w:spacing w:line="360" w:lineRule="auto"/>
        <w:rPr>
          <w:rFonts w:hint="default" w:ascii="等线 Light" w:hAnsi="等线 Light" w:eastAsia="等线 Light" w:cs="Times New Roman"/>
          <w:kern w:val="2"/>
          <w:sz w:val="24"/>
          <w:szCs w:val="24"/>
          <w:highlight w:val="none"/>
          <w:lang w:val="en-US" w:eastAsia="zh-CN" w:bidi="ar-SA"/>
        </w:rPr>
      </w:pPr>
      <w:r>
        <w:rPr>
          <w:rFonts w:hint="default" w:ascii="等线 Light" w:hAnsi="等线 Light" w:eastAsia="等线 Light" w:cs="Times New Roman"/>
          <w:kern w:val="2"/>
          <w:sz w:val="24"/>
          <w:szCs w:val="24"/>
          <w:highlight w:val="none"/>
          <w:lang w:val="en-US" w:eastAsia="zh-CN" w:bidi="ar-SA"/>
        </w:rPr>
        <w:fldChar w:fldCharType="begin"/>
      </w:r>
      <w:r>
        <w:rPr>
          <w:rFonts w:hint="default" w:ascii="等线 Light" w:hAnsi="等线 Light" w:eastAsia="等线 Light" w:cs="Times New Roman"/>
          <w:kern w:val="2"/>
          <w:sz w:val="24"/>
          <w:szCs w:val="24"/>
          <w:highlight w:val="none"/>
          <w:lang w:val="en-US" w:eastAsia="zh-CN" w:bidi="ar-SA"/>
        </w:rPr>
        <w:instrText xml:space="preserve"> HYPERLINK "https://www.cac.gov.cn/2026-02/06/c_1772110875635198.htm" </w:instrText>
      </w:r>
      <w:r>
        <w:rPr>
          <w:rFonts w:hint="default" w:ascii="等线 Light" w:hAnsi="等线 Light" w:eastAsia="等线 Light" w:cs="Times New Roman"/>
          <w:kern w:val="2"/>
          <w:sz w:val="24"/>
          <w:szCs w:val="24"/>
          <w:highlight w:val="none"/>
          <w:lang w:val="en-US" w:eastAsia="zh-CN" w:bidi="ar-SA"/>
        </w:rPr>
        <w:fldChar w:fldCharType="separate"/>
      </w:r>
      <w:r>
        <w:rPr>
          <w:rFonts w:hint="default" w:ascii="等线 Light" w:hAnsi="等线 Light" w:eastAsia="等线 Light" w:cs="Times New Roman"/>
          <w:kern w:val="2"/>
          <w:sz w:val="24"/>
          <w:szCs w:val="24"/>
          <w:highlight w:val="none"/>
          <w:lang w:val="en-US" w:eastAsia="zh-CN" w:bidi="ar-SA"/>
        </w:rPr>
        <w:t>https://www.cac.gov.cn/2026-02/06/c_1772110875635198.htm</w:t>
      </w:r>
      <w:r>
        <w:rPr>
          <w:rFonts w:hint="default" w:ascii="等线 Light" w:hAnsi="等线 Light" w:eastAsia="等线 Light" w:cs="Times New Roman"/>
          <w:kern w:val="2"/>
          <w:sz w:val="24"/>
          <w:szCs w:val="24"/>
          <w:highlight w:val="none"/>
          <w:lang w:val="en-US" w:eastAsia="zh-CN" w:bidi="ar-SA"/>
        </w:rPr>
        <w:fldChar w:fldCharType="end"/>
      </w:r>
    </w:p>
    <w:p w14:paraId="6D97AC84">
      <w:pPr>
        <w:spacing w:line="360" w:lineRule="auto"/>
        <w:rPr>
          <w:rFonts w:hint="default" w:ascii="等线 Light" w:hAnsi="等线 Light" w:eastAsia="等线 Light" w:cs="Times New Roman"/>
          <w:kern w:val="2"/>
          <w:sz w:val="24"/>
          <w:szCs w:val="24"/>
          <w:highlight w:val="none"/>
          <w:lang w:val="en-US" w:eastAsia="zh-CN" w:bidi="ar-SA"/>
        </w:rPr>
      </w:pPr>
    </w:p>
    <w:p w14:paraId="0A8EEBF5">
      <w:pPr>
        <w:keepNext/>
        <w:keepLines/>
        <w:spacing w:before="260" w:after="260" w:line="415" w:lineRule="auto"/>
        <w:outlineLvl w:val="1"/>
        <w:rPr>
          <w:rFonts w:ascii="等线 Light" w:hAnsi="等线 Light" w:eastAsia="等线 Light" w:cs="Times New Roman"/>
          <w:b/>
          <w:bCs/>
          <w:sz w:val="32"/>
          <w:szCs w:val="32"/>
          <w:highlight w:val="none"/>
        </w:rPr>
      </w:pPr>
      <w:bookmarkStart w:id="2" w:name="_Toc1351534167"/>
      <w:r>
        <w:rPr>
          <w:rFonts w:hint="eastAsia" w:ascii="等线 Light" w:hAnsi="等线 Light" w:eastAsia="等线 Light" w:cs="Times New Roman"/>
          <w:b/>
          <w:bCs/>
          <w:sz w:val="32"/>
          <w:szCs w:val="32"/>
          <w:highlight w:val="none"/>
          <w:lang w:val="en-US" w:eastAsia="zh-CN"/>
        </w:rPr>
        <w:t>2</w:t>
      </w:r>
      <w:r>
        <w:rPr>
          <w:rFonts w:hint="eastAsia" w:ascii="等线 Light" w:hAnsi="等线 Light" w:eastAsia="等线 Light" w:cs="Times New Roman"/>
          <w:b/>
          <w:bCs/>
          <w:sz w:val="32"/>
          <w:szCs w:val="32"/>
          <w:highlight w:val="none"/>
        </w:rPr>
        <w:t>.</w:t>
      </w:r>
      <w:bookmarkEnd w:id="2"/>
      <w:r>
        <w:rPr>
          <w:rFonts w:hint="eastAsia" w:ascii="等线 Light" w:hAnsi="等线 Light" w:eastAsia="等线 Light" w:cs="Times New Roman"/>
          <w:b/>
          <w:bCs/>
          <w:sz w:val="32"/>
          <w:szCs w:val="32"/>
          <w:highlight w:val="none"/>
        </w:rPr>
        <w:t>网信部门从严整治传播无AI标识的虚假不实信息问题</w:t>
      </w:r>
    </w:p>
    <w:p w14:paraId="7B41D657">
      <w:pPr>
        <w:spacing w:line="360" w:lineRule="auto"/>
        <w:ind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 xml:space="preserve">近期，部分网络账号发布AI生成合成信息时，不添加AI标识，存在利用虚假不实内容欺骗误导公众的问题，破坏网络生态，造成恶劣影响。网信部门督促网站平台深入排查整治，依法依约处置账号13421个，清理违法违规信息54.3万余条。现将部分典型案例通报如下： </w:t>
      </w:r>
    </w:p>
    <w:p w14:paraId="7051CD34">
      <w:pPr>
        <w:spacing w:line="360" w:lineRule="auto"/>
        <w:ind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 xml:space="preserve">一、微博账号“澄馫”、快手账号“玲子爱狗狗”、哔哩哔哩账号“空空说电影”等，发布狗在高铁站救下婴儿、狗拆炸弹救人、鳄鱼伤人等视频时，未添加AI生成标识，借虚构感人故事、猎奇事件恶意博取流量。相关账号已被依法依约处置。 </w:t>
      </w:r>
    </w:p>
    <w:p w14:paraId="0131EDBC">
      <w:pPr>
        <w:spacing w:line="360" w:lineRule="auto"/>
        <w:ind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 xml:space="preserve">二、微信账号“浮萍9419”、微博账号“乘风已归来”、快手账号“东东情感”等，以AI换脸、声音克隆等方式，假冒运动员、演员、主持人、企业家等公众人物，发布不实言论，借此吸粉引流，或未经授权，售卖AI生成的公众人物“送祝福”“拜年”等视频，从中不当牟利。相关账号已被依法依约处置。 </w:t>
      </w:r>
    </w:p>
    <w:p w14:paraId="0CBFB921">
      <w:pPr>
        <w:spacing w:line="360" w:lineRule="auto"/>
        <w:ind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 xml:space="preserve">三、抖音账号“巷子里的鱼”“禾粟”、快手账号“朵姐正能量”“小猪猪”等，发布AI生成的虚假火灾现场图片、视频，恶意编造、炒作火灾事故，混淆视听，扰乱公共秩序。相关账号已被依法依约处置。 </w:t>
      </w:r>
    </w:p>
    <w:p w14:paraId="3868595C">
      <w:pPr>
        <w:spacing w:line="360" w:lineRule="auto"/>
        <w:ind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 xml:space="preserve">四、哔哩哔哩账号“真难我知道”、抖音账号“小奥特曼大智慧”、百度账号“清崽影视”等，借AI魔改未成年人喜爱的动画角色，制作刀切小马宝莉头部、奥特曼怀孕等视频，传播低俗惊悚、血腥暴力内容，宣扬不良价值观，侵扰未成年人身心健康。相关账号已被依法依约处置。 </w:t>
      </w:r>
    </w:p>
    <w:p w14:paraId="0EDAC964">
      <w:pPr>
        <w:spacing w:line="360" w:lineRule="auto"/>
        <w:ind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 xml:space="preserve">五、小红书账号“浪淘达人”“南坤的店”等，发布“豆包图片去水印神器”等内容，分享去除AI标识教程、软件，淘宝、闲鱼、拼多多店铺“浙江智意AI”“鼎建祥旗舰店”等，售卖去AI标识教程、软件及服务。相关账号已被依法依约处置，违规商品已下架。 </w:t>
      </w:r>
    </w:p>
    <w:p w14:paraId="4F2AD20B">
      <w:pPr>
        <w:spacing w:line="360" w:lineRule="auto"/>
        <w:ind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下一步，网信部门将对无AI标识的虚假不实信息保持高压严管态势，发现即处置，严厉打击违规行为。同时，也呼吁广大网络内容创作者按照相关规定主动添加AI标识，避免误导公众，共同营造风清气正的网络环境。</w:t>
      </w:r>
    </w:p>
    <w:p w14:paraId="73FF6C09">
      <w:pPr>
        <w:spacing w:line="360" w:lineRule="auto"/>
        <w:ind w:firstLine="480" w:firstLineChars="200"/>
        <w:rPr>
          <w:rFonts w:hint="eastAsia" w:ascii="等线 Light" w:hAnsi="等线 Light" w:eastAsia="等线 Light" w:cs="Times New Roman"/>
          <w:kern w:val="2"/>
          <w:sz w:val="24"/>
          <w:szCs w:val="24"/>
          <w:highlight w:val="none"/>
          <w:lang w:val="en-US" w:eastAsia="zh-CN" w:bidi="ar-SA"/>
        </w:rPr>
      </w:pPr>
    </w:p>
    <w:p w14:paraId="24416423">
      <w:pPr>
        <w:spacing w:line="360" w:lineRule="auto"/>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来源：中国网信网</w:t>
      </w:r>
    </w:p>
    <w:p w14:paraId="2B0C3D1A">
      <w:pPr>
        <w:spacing w:line="360" w:lineRule="auto"/>
        <w:rPr>
          <w:rFonts w:hint="default" w:ascii="等线 Light" w:hAnsi="等线 Light" w:eastAsia="等线 Light" w:cs="Times New Roman"/>
          <w:kern w:val="2"/>
          <w:sz w:val="24"/>
          <w:szCs w:val="24"/>
          <w:highlight w:val="none"/>
          <w:lang w:val="en-US" w:eastAsia="zh-CN" w:bidi="ar-SA"/>
        </w:rPr>
      </w:pPr>
      <w:r>
        <w:rPr>
          <w:rFonts w:hint="default" w:ascii="等线 Light" w:hAnsi="等线 Light" w:eastAsia="等线 Light" w:cs="Times New Roman"/>
          <w:kern w:val="2"/>
          <w:sz w:val="24"/>
          <w:szCs w:val="24"/>
          <w:highlight w:val="none"/>
          <w:lang w:val="en-US" w:eastAsia="zh-CN" w:bidi="ar-SA"/>
        </w:rPr>
        <w:fldChar w:fldCharType="begin"/>
      </w:r>
      <w:r>
        <w:rPr>
          <w:rFonts w:hint="default" w:ascii="等线 Light" w:hAnsi="等线 Light" w:eastAsia="等线 Light" w:cs="Times New Roman"/>
          <w:kern w:val="2"/>
          <w:sz w:val="24"/>
          <w:szCs w:val="24"/>
          <w:highlight w:val="none"/>
          <w:lang w:val="en-US" w:eastAsia="zh-CN" w:bidi="ar-SA"/>
        </w:rPr>
        <w:instrText xml:space="preserve"> HYPERLINK "https://www.cac.gov.cn/2026-02/12/c_1772636033171974.htm" </w:instrText>
      </w:r>
      <w:r>
        <w:rPr>
          <w:rFonts w:hint="default" w:ascii="等线 Light" w:hAnsi="等线 Light" w:eastAsia="等线 Light" w:cs="Times New Roman"/>
          <w:kern w:val="2"/>
          <w:sz w:val="24"/>
          <w:szCs w:val="24"/>
          <w:highlight w:val="none"/>
          <w:lang w:val="en-US" w:eastAsia="zh-CN" w:bidi="ar-SA"/>
        </w:rPr>
        <w:fldChar w:fldCharType="separate"/>
      </w:r>
      <w:r>
        <w:rPr>
          <w:rFonts w:hint="default" w:ascii="等线 Light" w:hAnsi="等线 Light" w:eastAsia="等线 Light" w:cs="Times New Roman"/>
          <w:kern w:val="2"/>
          <w:sz w:val="24"/>
          <w:szCs w:val="24"/>
          <w:highlight w:val="none"/>
          <w:lang w:val="en-US" w:eastAsia="zh-CN" w:bidi="ar-SA"/>
        </w:rPr>
        <w:t>https://www.cac.gov.cn/2026-02/12/c_1772636033171974.htm</w:t>
      </w:r>
      <w:r>
        <w:rPr>
          <w:rFonts w:hint="default" w:ascii="等线 Light" w:hAnsi="等线 Light" w:eastAsia="等线 Light" w:cs="Times New Roman"/>
          <w:kern w:val="2"/>
          <w:sz w:val="24"/>
          <w:szCs w:val="24"/>
          <w:highlight w:val="none"/>
          <w:lang w:val="en-US" w:eastAsia="zh-CN" w:bidi="ar-SA"/>
        </w:rPr>
        <w:fldChar w:fldCharType="end"/>
      </w:r>
    </w:p>
    <w:p w14:paraId="5CD70225">
      <w:pPr>
        <w:spacing w:line="360" w:lineRule="auto"/>
        <w:rPr>
          <w:rFonts w:hint="eastAsia" w:ascii="等线 Light" w:hAnsi="等线 Light" w:eastAsia="等线 Light" w:cs="Times New Roman"/>
          <w:b/>
          <w:bCs/>
          <w:sz w:val="32"/>
          <w:szCs w:val="32"/>
          <w:highlight w:val="none"/>
          <w:lang w:val="en-US" w:eastAsia="zh-CN"/>
        </w:rPr>
      </w:pPr>
      <w:bookmarkStart w:id="3" w:name="_Toc1300210450"/>
    </w:p>
    <w:p w14:paraId="785231C1">
      <w:pPr>
        <w:spacing w:line="360" w:lineRule="auto"/>
        <w:rPr>
          <w:rFonts w:hint="eastAsia" w:ascii="等线 Light" w:hAnsi="等线 Light" w:eastAsia="等线 Light" w:cs="Times New Roman"/>
          <w:b/>
          <w:bCs/>
          <w:sz w:val="32"/>
          <w:szCs w:val="32"/>
          <w:highlight w:val="none"/>
        </w:rPr>
      </w:pPr>
      <w:r>
        <w:rPr>
          <w:rFonts w:hint="eastAsia" w:ascii="等线 Light" w:hAnsi="等线 Light" w:eastAsia="等线 Light" w:cs="Times New Roman"/>
          <w:b/>
          <w:bCs/>
          <w:sz w:val="32"/>
          <w:szCs w:val="32"/>
          <w:highlight w:val="none"/>
          <w:lang w:val="en-US" w:eastAsia="zh-CN"/>
        </w:rPr>
        <w:t>3</w:t>
      </w:r>
      <w:r>
        <w:rPr>
          <w:rFonts w:hint="eastAsia" w:ascii="等线 Light" w:hAnsi="等线 Light" w:eastAsia="等线 Light" w:cs="Times New Roman"/>
          <w:b/>
          <w:bCs/>
          <w:sz w:val="32"/>
          <w:szCs w:val="32"/>
          <w:highlight w:val="none"/>
        </w:rPr>
        <w:t>.</w:t>
      </w:r>
      <w:bookmarkEnd w:id="3"/>
      <w:r>
        <w:rPr>
          <w:rFonts w:hint="eastAsia" w:ascii="等线 Light" w:hAnsi="等线 Light" w:eastAsia="等线 Light" w:cs="Times New Roman"/>
          <w:b/>
          <w:bCs/>
          <w:sz w:val="32"/>
          <w:szCs w:val="32"/>
          <w:highlight w:val="none"/>
        </w:rPr>
        <w:t>国家版权局等四部门启动2026年院线电影版权保护专项行动</w:t>
      </w:r>
    </w:p>
    <w:p w14:paraId="1F41E705">
      <w:pPr>
        <w:spacing w:line="360" w:lineRule="auto"/>
        <w:ind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春节将至，多部优秀影片将在院线集中上映，权利人、产业界、社会公众广泛关注。为加大院线电影版权保护力度，维护良好的电影市场版权秩序，营造健康有序的观影环境，护航电影产业高质量发展，国家版权局、国家电影局、公安部、文化和旅游部相关部门于近日联合部署开展2026年院线电影版权保护“剑影”专项行动。</w:t>
      </w:r>
    </w:p>
    <w:p w14:paraId="7DD5D060">
      <w:pPr>
        <w:spacing w:line="360" w:lineRule="auto"/>
        <w:ind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国家版权局将会同国家电影局发布重点作品版权保护预警名单，四部门将加大线下巡查和线上监测力度，对偷拍盗录、非法传播、分销侵权盗版IP衍生品等违法行为依法从严从重从快查处。相关部门还将大力推动影视IP价值转化与产业融合升级，积极构建创新服务支持体系，加强版权知识普及教育，推动相关网站平台切实履行主体责任，建立健全版权合规治理体系，着力提升尊重版权意识，进一步维护良好的电影市场版权秩序。</w:t>
      </w:r>
    </w:p>
    <w:p w14:paraId="1FBEAB3D">
      <w:pPr>
        <w:spacing w:line="360" w:lineRule="auto"/>
        <w:rPr>
          <w:rFonts w:hint="default"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来源： 国家版权局</w:t>
      </w:r>
    </w:p>
    <w:p w14:paraId="5D4D6BD2">
      <w:pPr>
        <w:spacing w:line="360" w:lineRule="auto"/>
        <w:rPr>
          <w:rFonts w:hint="default" w:ascii="等线 Light" w:hAnsi="等线 Light" w:eastAsia="等线 Light" w:cs="Times New Roman"/>
          <w:kern w:val="2"/>
          <w:sz w:val="24"/>
          <w:szCs w:val="24"/>
          <w:highlight w:val="none"/>
          <w:lang w:val="en-US" w:eastAsia="zh-CN" w:bidi="ar-SA"/>
        </w:rPr>
      </w:pPr>
      <w:r>
        <w:rPr>
          <w:rFonts w:hint="default" w:ascii="等线 Light" w:hAnsi="等线 Light" w:eastAsia="等线 Light" w:cs="Times New Roman"/>
          <w:kern w:val="2"/>
          <w:sz w:val="24"/>
          <w:szCs w:val="24"/>
          <w:highlight w:val="none"/>
          <w:lang w:val="en-US" w:eastAsia="zh-CN" w:bidi="ar-SA"/>
        </w:rPr>
        <w:fldChar w:fldCharType="begin"/>
      </w:r>
      <w:r>
        <w:rPr>
          <w:rFonts w:hint="default" w:ascii="等线 Light" w:hAnsi="等线 Light" w:eastAsia="等线 Light" w:cs="Times New Roman"/>
          <w:kern w:val="2"/>
          <w:sz w:val="24"/>
          <w:szCs w:val="24"/>
          <w:highlight w:val="none"/>
          <w:lang w:val="en-US" w:eastAsia="zh-CN" w:bidi="ar-SA"/>
        </w:rPr>
        <w:instrText xml:space="preserve"> HYPERLINK "https://www.chinafilm.gov.cn/xwzx/ywxx/202602/t20260211_949771.html" </w:instrText>
      </w:r>
      <w:r>
        <w:rPr>
          <w:rFonts w:hint="default" w:ascii="等线 Light" w:hAnsi="等线 Light" w:eastAsia="等线 Light" w:cs="Times New Roman"/>
          <w:kern w:val="2"/>
          <w:sz w:val="24"/>
          <w:szCs w:val="24"/>
          <w:highlight w:val="none"/>
          <w:lang w:val="en-US" w:eastAsia="zh-CN" w:bidi="ar-SA"/>
        </w:rPr>
        <w:fldChar w:fldCharType="separate"/>
      </w:r>
      <w:r>
        <w:rPr>
          <w:rFonts w:hint="default" w:ascii="等线 Light" w:hAnsi="等线 Light" w:eastAsia="等线 Light" w:cs="Times New Roman"/>
          <w:kern w:val="2"/>
          <w:sz w:val="24"/>
          <w:szCs w:val="24"/>
          <w:highlight w:val="none"/>
          <w:lang w:val="en-US" w:eastAsia="zh-CN" w:bidi="ar-SA"/>
        </w:rPr>
        <w:t>https://www.chinafilm.gov.cn/xwzx/ywxx/202602/t20260211_949771.html</w:t>
      </w:r>
      <w:r>
        <w:rPr>
          <w:rFonts w:hint="default" w:ascii="等线 Light" w:hAnsi="等线 Light" w:eastAsia="等线 Light" w:cs="Times New Roman"/>
          <w:kern w:val="2"/>
          <w:sz w:val="24"/>
          <w:szCs w:val="24"/>
          <w:highlight w:val="none"/>
          <w:lang w:val="en-US" w:eastAsia="zh-CN" w:bidi="ar-SA"/>
        </w:rPr>
        <w:fldChar w:fldCharType="end"/>
      </w:r>
    </w:p>
    <w:p w14:paraId="207032DD">
      <w:pPr>
        <w:spacing w:line="360" w:lineRule="auto"/>
        <w:rPr>
          <w:rFonts w:hint="default" w:ascii="等线 Light" w:hAnsi="等线 Light" w:eastAsia="等线 Light" w:cs="Times New Roman"/>
          <w:kern w:val="2"/>
          <w:sz w:val="24"/>
          <w:szCs w:val="24"/>
          <w:highlight w:val="none"/>
          <w:lang w:val="en-US" w:eastAsia="zh-CN" w:bidi="ar-SA"/>
        </w:rPr>
      </w:pPr>
    </w:p>
    <w:p w14:paraId="72F60412">
      <w:pPr>
        <w:spacing w:line="360" w:lineRule="auto"/>
        <w:rPr>
          <w:rFonts w:hint="eastAsia" w:ascii="等线 Light" w:hAnsi="等线 Light" w:eastAsia="等线 Light" w:cs="Times New Roman"/>
          <w:b/>
          <w:bCs/>
          <w:sz w:val="32"/>
          <w:szCs w:val="32"/>
          <w:highlight w:val="none"/>
        </w:rPr>
      </w:pPr>
      <w:bookmarkStart w:id="4" w:name="_Toc1990924925"/>
      <w:r>
        <w:rPr>
          <w:rFonts w:hint="eastAsia" w:ascii="等线 Light" w:hAnsi="等线 Light" w:eastAsia="等线 Light" w:cs="Times New Roman"/>
          <w:b/>
          <w:bCs/>
          <w:sz w:val="32"/>
          <w:szCs w:val="32"/>
          <w:highlight w:val="none"/>
          <w:lang w:val="en-US" w:eastAsia="zh-CN"/>
        </w:rPr>
        <w:t>4</w:t>
      </w:r>
      <w:r>
        <w:rPr>
          <w:rFonts w:hint="eastAsia" w:ascii="等线 Light" w:hAnsi="等线 Light" w:eastAsia="等线 Light" w:cs="Times New Roman"/>
          <w:b/>
          <w:bCs/>
          <w:sz w:val="32"/>
          <w:szCs w:val="32"/>
          <w:highlight w:val="none"/>
        </w:rPr>
        <w:t>.</w:t>
      </w:r>
      <w:bookmarkEnd w:id="4"/>
      <w:r>
        <w:rPr>
          <w:rFonts w:hint="eastAsia" w:ascii="等线 Light" w:hAnsi="等线 Light" w:eastAsia="等线 Light" w:cs="Times New Roman"/>
          <w:b/>
          <w:bCs/>
          <w:sz w:val="32"/>
          <w:szCs w:val="32"/>
          <w:highlight w:val="none"/>
        </w:rPr>
        <w:t>2025年全国网信系统严格规范公正文明执法 护航网信事业高质量发展</w:t>
      </w:r>
    </w:p>
    <w:p w14:paraId="34CC9DB3">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 xml:space="preserve">2025年，全国网信系统始终坚持以习近平新时代中国特色社会主义思想特别是习近平法治思想、习近平文化思想和习近平总书记关于网络强国的重要思想为指导，贯彻落实党的二十大和二十届历次全会精神以及中央全面依法治国工作会议精神，全面推进严格规范公正文明执法，着力提升网络执法的针对性、有效性、前瞻性，进一步加大网络执法的震慑力、权威性，切实维护网络空间风清气正，保障人民群众合法权益。一年来，全国网信系统依法约谈网站平台5811家，警告1646次，对521家网站平台实施罚款处罚，责令暂停功能或更新688次，下架App2133款，下线小程序192款，会同电信主管部门注销网站、App备案，以及关闭网站、App9637家。督促网站平台落实主体责任，依法处置各类违法账号。 </w:t>
      </w:r>
    </w:p>
    <w:p w14:paraId="2F21E322">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80" w:firstLineChars="200"/>
        <w:rPr>
          <w:rFonts w:hint="eastAsia" w:ascii="等线 Light" w:hAnsi="等线 Light" w:eastAsia="等线 Light" w:cs="Times New Roman"/>
          <w:b/>
          <w:bCs/>
          <w:kern w:val="2"/>
          <w:sz w:val="24"/>
          <w:szCs w:val="24"/>
          <w:highlight w:val="none"/>
          <w:lang w:val="en-US" w:eastAsia="zh-CN" w:bidi="ar-SA"/>
        </w:rPr>
      </w:pPr>
      <w:r>
        <w:rPr>
          <w:rFonts w:hint="eastAsia" w:ascii="等线 Light" w:hAnsi="等线 Light" w:eastAsia="等线 Light" w:cs="Times New Roman"/>
          <w:b/>
          <w:bCs/>
          <w:kern w:val="2"/>
          <w:sz w:val="24"/>
          <w:szCs w:val="24"/>
          <w:highlight w:val="none"/>
          <w:lang w:val="en-US" w:eastAsia="zh-CN" w:bidi="ar-SA"/>
        </w:rPr>
        <w:t xml:space="preserve">依法严厉打击网络信息内容违法行为，推进网络空间清朗 </w:t>
      </w:r>
    </w:p>
    <w:p w14:paraId="1CF5B503">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 xml:space="preserve">全国网信系统聚焦打击侵害未成年人身心健康、网络暴力、扰乱传播秩序、破坏营商网络环境、污染网络生态等违法行为，集中整治涉企侵权信息、体育“饭圈”等网络乱象，加大对违法网站平台和网络账号处置处罚力度。 </w:t>
      </w:r>
    </w:p>
    <w:p w14:paraId="71701C59">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 xml:space="preserve">针对部分网站平台对用户发布损害国家荣誉和利益、破坏国家统一，宣扬恐怖主义、极端主义，宣扬民族仇恨、民族歧视等违法信息未尽到法定管理义务问题，部分网站平台在搜索环节呈现法律、行政法规禁止发布或传输信息问题，国家网信办指导属地网信办分别依法采取约谈、责令改正、处置相关账号、暂停相关功能、罚款、处理责任人等处置处罚措施。 </w:t>
      </w:r>
    </w:p>
    <w:p w14:paraId="45C2B544">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 xml:space="preserve">针对存在通过AI“换脸”技术假冒公众人物营销带货、售卖“开盒”服务、侵害他人合法权益问题的网站平台，存在未经许可违规从事互联网新闻信息服务问题的“中访网”等网站，国家网信办指导属地网信办依法采取约谈、责令改正、顶格罚款、警告、处置相关账号、停止互联网新闻信息服务活动、处理责任人等处置处罚措施。针对热搜榜单重点环节频繁呈现不良信息内容的网站平台，国家网信办依法加大曝光力度，强化警示震慑。 </w:t>
      </w:r>
    </w:p>
    <w:p w14:paraId="69CB9E66">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 xml:space="preserve">针对存在偷税漏税问题的网络名人账号，依法予以禁言、暂停粉丝数增长、暂停营利权限、清除因违规行为增加的粉丝数量处置。针对存在炒作服刑劣迹、传播错误价值导向的网络账号，依法予以关闭、禁言、暂停粉丝数增长等处置。针对存在发布涉企虚假信息、破坏营商网络环境问题的“柴怼怼”、“CHE车说道”等网络账号，存在“饭圈”极端化、娱乐八卦、挑动阶层对立等破坏网络生态问题的网络账号，存在违规使用具有新闻属性账号名称、混淆视听、假冒仿冒新闻媒体等问题的微博“上海午报”等网络账号，依法予以关闭处置。 </w:t>
      </w:r>
    </w:p>
    <w:p w14:paraId="67316884">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80" w:firstLineChars="200"/>
        <w:rPr>
          <w:rFonts w:hint="eastAsia" w:ascii="等线 Light" w:hAnsi="等线 Light" w:eastAsia="等线 Light" w:cs="Times New Roman"/>
          <w:b/>
          <w:bCs/>
          <w:kern w:val="2"/>
          <w:sz w:val="24"/>
          <w:szCs w:val="24"/>
          <w:highlight w:val="none"/>
          <w:lang w:val="en-US" w:eastAsia="zh-CN" w:bidi="ar-SA"/>
        </w:rPr>
      </w:pPr>
      <w:r>
        <w:rPr>
          <w:rFonts w:hint="eastAsia" w:ascii="等线 Light" w:hAnsi="等线 Light" w:eastAsia="等线 Light" w:cs="Times New Roman"/>
          <w:b/>
          <w:bCs/>
          <w:kern w:val="2"/>
          <w:sz w:val="24"/>
          <w:szCs w:val="24"/>
          <w:highlight w:val="none"/>
          <w:lang w:val="en-US" w:eastAsia="zh-CN" w:bidi="ar-SA"/>
        </w:rPr>
        <w:t xml:space="preserve">持续加大网络安全等领域违法行为查处力度，保护广大网民合法权益 </w:t>
      </w:r>
    </w:p>
    <w:p w14:paraId="63202DD8">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全国网信系统深入推进网络安全、数据安全、个人信息保护领域常态化执法，持续加大工作力度，形成有力震慑。</w:t>
      </w:r>
    </w:p>
    <w:p w14:paraId="4E197843">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 xml:space="preserve">针对存在未履行网络安全、数据安全保护义务，未按照法律规定留存相关网络日志，未及时处置系统漏洞等安全风险，致使系统遭攻击篡改、数据泄露等违法问题的网站平台企业，国家网信办指导属地网信办依法采取责令改正、警告、罚款、处理责任人等处置处罚措施。 </w:t>
      </w:r>
    </w:p>
    <w:p w14:paraId="5A4938B3">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 xml:space="preserve">针对存在未公开个人信息收集使用规则、过度收集个人信息、违法出境个人信息等问题的部分App及企业单位，国家网信办指导属地网信办依法采取责令限期改正、下架下线、警告、罚款、处理责任人等处置处罚措施。 </w:t>
      </w:r>
    </w:p>
    <w:p w14:paraId="406C5F1F">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 xml:space="preserve">针对存在未有效落实人工智能合成内容标识规定要求问题的多款App，国家网信办指导属地网信办依法采取约谈、责令限期改正、下架下线等处置措施。 </w:t>
      </w:r>
    </w:p>
    <w:p w14:paraId="3F238FB9">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 xml:space="preserve">针对存在未经安全评估即上线提供服务问题的一些具有舆论属性或动员能力的App、小程序，国家网信办指导属地网信办依法采取责令改正、下架、下线功能、罚款、处理责任人等处置处罚措施。对已完成整改的App依法复核恢复上架，引导新技术新应用健康有序发展。 </w:t>
      </w:r>
    </w:p>
    <w:p w14:paraId="545021B1">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80" w:firstLineChars="200"/>
        <w:rPr>
          <w:rFonts w:hint="eastAsia" w:ascii="等线 Light" w:hAnsi="等线 Light" w:eastAsia="等线 Light" w:cs="Times New Roman"/>
          <w:b/>
          <w:bCs/>
          <w:kern w:val="2"/>
          <w:sz w:val="24"/>
          <w:szCs w:val="24"/>
          <w:highlight w:val="none"/>
          <w:lang w:val="en-US" w:eastAsia="zh-CN" w:bidi="ar-SA"/>
        </w:rPr>
      </w:pPr>
      <w:r>
        <w:rPr>
          <w:rFonts w:hint="eastAsia" w:ascii="等线 Light" w:hAnsi="等线 Light" w:eastAsia="等线 Light" w:cs="Times New Roman"/>
          <w:b/>
          <w:bCs/>
          <w:kern w:val="2"/>
          <w:sz w:val="24"/>
          <w:szCs w:val="24"/>
          <w:highlight w:val="none"/>
          <w:lang w:val="en-US" w:eastAsia="zh-CN" w:bidi="ar-SA"/>
        </w:rPr>
        <w:t xml:space="preserve">进一步强化网络执法管理监督，提升网络执法能力水平 </w:t>
      </w:r>
    </w:p>
    <w:p w14:paraId="23F6F55C">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国家网信办持续健全网络执法监督工作体系，开展日常监督、重点监督、专项监督等多种形式的监督，确保网络执法各项工作落实到位。严格落实网络执法人员培训、考试考核、资格管理和持证上岗制度。制定出台《网信部门行政处罚裁量权基准适用规定》，梳理发布《国家互联网信息办公室涉企行政检查事项清单》，进一步推进网络执法规范化、制度化、专业化建设。通过严格规范公正文明网络执法，推进依法管网、依法办网、依法上网，推动互联网在法治轨道上健康运行。</w:t>
      </w:r>
    </w:p>
    <w:p w14:paraId="38438CF4">
      <w:pPr>
        <w:spacing w:line="360" w:lineRule="auto"/>
        <w:rPr>
          <w:rFonts w:hint="eastAsia" w:ascii="等线 Light" w:hAnsi="等线 Light" w:eastAsia="等线 Light" w:cs="Times New Roman"/>
          <w:kern w:val="2"/>
          <w:sz w:val="24"/>
          <w:szCs w:val="24"/>
          <w:highlight w:val="none"/>
          <w:lang w:val="en-US" w:eastAsia="zh-CN" w:bidi="ar-SA"/>
        </w:rPr>
      </w:pPr>
    </w:p>
    <w:p w14:paraId="1877950A">
      <w:pPr>
        <w:spacing w:line="360" w:lineRule="auto"/>
        <w:rPr>
          <w:rFonts w:hint="default"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来源：中国网信网</w:t>
      </w:r>
    </w:p>
    <w:p w14:paraId="1BF3992A">
      <w:pPr>
        <w:spacing w:line="360" w:lineRule="auto"/>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fldChar w:fldCharType="begin"/>
      </w:r>
      <w:r>
        <w:rPr>
          <w:rFonts w:hint="eastAsia" w:ascii="等线 Light" w:hAnsi="等线 Light" w:eastAsia="等线 Light" w:cs="Times New Roman"/>
          <w:kern w:val="2"/>
          <w:sz w:val="24"/>
          <w:szCs w:val="24"/>
          <w:highlight w:val="none"/>
          <w:lang w:val="en-US" w:eastAsia="zh-CN" w:bidi="ar-SA"/>
        </w:rPr>
        <w:instrText xml:space="preserve"> HYPERLINK "https://www.cac.gov.cn/2026-02/14/c_1772800146205770.htm" </w:instrText>
      </w:r>
      <w:r>
        <w:rPr>
          <w:rFonts w:hint="eastAsia" w:ascii="等线 Light" w:hAnsi="等线 Light" w:eastAsia="等线 Light" w:cs="Times New Roman"/>
          <w:kern w:val="2"/>
          <w:sz w:val="24"/>
          <w:szCs w:val="24"/>
          <w:highlight w:val="none"/>
          <w:lang w:val="en-US" w:eastAsia="zh-CN" w:bidi="ar-SA"/>
        </w:rPr>
        <w:fldChar w:fldCharType="separate"/>
      </w:r>
      <w:r>
        <w:rPr>
          <w:rFonts w:hint="eastAsia" w:ascii="等线 Light" w:hAnsi="等线 Light" w:eastAsia="等线 Light" w:cs="Times New Roman"/>
          <w:kern w:val="2"/>
          <w:sz w:val="24"/>
          <w:szCs w:val="24"/>
          <w:highlight w:val="none"/>
          <w:lang w:val="en-US" w:eastAsia="zh-CN" w:bidi="ar-SA"/>
        </w:rPr>
        <w:t>https://www.cac.gov.cn/2026-02/14/c_1772800146205770.htm</w:t>
      </w:r>
      <w:r>
        <w:rPr>
          <w:rFonts w:hint="eastAsia" w:ascii="等线 Light" w:hAnsi="等线 Light" w:eastAsia="等线 Light" w:cs="Times New Roman"/>
          <w:kern w:val="2"/>
          <w:sz w:val="24"/>
          <w:szCs w:val="24"/>
          <w:highlight w:val="none"/>
          <w:lang w:val="en-US" w:eastAsia="zh-CN" w:bidi="ar-SA"/>
        </w:rPr>
        <w:fldChar w:fldCharType="end"/>
      </w:r>
    </w:p>
    <w:p w14:paraId="47DFA1DB">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rFonts w:hint="eastAsia" w:ascii="等线 Light" w:hAnsi="等线 Light" w:eastAsia="等线 Light" w:cs="Times New Roman"/>
          <w:b/>
          <w:bCs/>
          <w:sz w:val="32"/>
          <w:szCs w:val="32"/>
          <w:highlight w:val="none"/>
          <w:lang w:val="en-US" w:eastAsia="zh-CN"/>
        </w:rPr>
      </w:pPr>
    </w:p>
    <w:p w14:paraId="0E08020C">
      <w:pPr>
        <w:numPr>
          <w:ilvl w:val="0"/>
          <w:numId w:val="0"/>
        </w:numPr>
        <w:ind w:firstLine="640" w:firstLineChars="200"/>
        <w:rPr>
          <w:rFonts w:hint="eastAsia" w:ascii="等线 Light" w:hAnsi="等线 Light" w:eastAsia="等线 Light" w:cs="Times New Roman"/>
          <w:b/>
          <w:bCs/>
          <w:sz w:val="32"/>
          <w:szCs w:val="32"/>
          <w:highlight w:val="none"/>
          <w:lang w:val="en-US" w:eastAsia="zh-CN"/>
        </w:rPr>
      </w:pPr>
      <w:bookmarkStart w:id="5" w:name="_Toc1532510568"/>
    </w:p>
    <w:bookmarkEnd w:id="5"/>
    <w:p w14:paraId="7973C520">
      <w:pPr>
        <w:numPr>
          <w:ilvl w:val="0"/>
          <w:numId w:val="0"/>
        </w:numPr>
        <w:rPr>
          <w:rFonts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lang w:val="en-US" w:eastAsia="zh-CN"/>
        </w:rPr>
        <w:t>5.</w:t>
      </w:r>
      <w:r>
        <w:rPr>
          <w:rFonts w:ascii="微软雅黑" w:hAnsi="微软雅黑" w:eastAsia="微软雅黑" w:cs="微软雅黑"/>
          <w:i w:val="0"/>
          <w:iCs w:val="0"/>
          <w:caps w:val="0"/>
          <w:color w:val="000000"/>
          <w:spacing w:val="0"/>
          <w:sz w:val="27"/>
          <w:szCs w:val="27"/>
        </w:rPr>
        <w:t>关于保障微短剧行业演职人员合法权益的自律公约</w:t>
      </w:r>
    </w:p>
    <w:p w14:paraId="46FF76A8">
      <w:pPr>
        <w:spacing w:line="360" w:lineRule="auto"/>
        <w:ind w:firstLine="480" w:firstLineChars="200"/>
        <w:rPr>
          <w:rFonts w:hint="eastAsia" w:ascii="等线 Light" w:hAnsi="等线 Light" w:eastAsia="等线 Light" w:cs="Times New Roman"/>
          <w:sz w:val="24"/>
          <w:highlight w:val="none"/>
        </w:rPr>
      </w:pPr>
      <w:r>
        <w:rPr>
          <w:rFonts w:hint="eastAsia" w:ascii="等线 Light" w:hAnsi="等线 Light" w:eastAsia="等线 Light" w:cs="Times New Roman"/>
          <w:sz w:val="24"/>
          <w:highlight w:val="none"/>
        </w:rPr>
        <w:t>微短剧行业的蓬勃发展离不开每一位演职人员的辛勤付出。为更好保障从业人员合法权益，规范行业用工行为，营造健康有序的行业生态，中国网络视听协会微短剧工作委员会向所有微短剧演职人员、用工单位、剧组、制作机构、摄制基地、播出平台发出以下自律倡议：</w:t>
      </w:r>
    </w:p>
    <w:p w14:paraId="26D6170F">
      <w:pPr>
        <w:spacing w:line="360" w:lineRule="auto"/>
        <w:ind w:firstLine="480" w:firstLineChars="200"/>
        <w:rPr>
          <w:rFonts w:hint="eastAsia" w:ascii="等线 Light" w:hAnsi="等线 Light" w:eastAsia="等线 Light" w:cs="Times New Roman"/>
          <w:sz w:val="24"/>
          <w:highlight w:val="none"/>
        </w:rPr>
      </w:pPr>
      <w:r>
        <w:rPr>
          <w:rFonts w:hint="eastAsia" w:ascii="等线 Light" w:hAnsi="等线 Light" w:eastAsia="等线 Light" w:cs="Times New Roman"/>
          <w:b/>
          <w:bCs/>
          <w:sz w:val="24"/>
          <w:highlight w:val="none"/>
        </w:rPr>
        <w:t>1.约定留痕确权责。</w:t>
      </w:r>
      <w:r>
        <w:rPr>
          <w:rFonts w:hint="eastAsia" w:ascii="等线 Light" w:hAnsi="等线 Light" w:eastAsia="等线 Light" w:cs="Times New Roman"/>
          <w:sz w:val="24"/>
          <w:highlight w:val="none"/>
        </w:rPr>
        <w:t>用工前双方应协商并以纸质或线上图文视频等形式明确工作内容、工作时长、薪酬标准、支付周期及方式、违约责任及赔偿等权责内容，做到可核查可追溯。</w:t>
      </w:r>
    </w:p>
    <w:p w14:paraId="4B49670D">
      <w:pPr>
        <w:spacing w:line="360" w:lineRule="auto"/>
        <w:ind w:firstLine="480" w:firstLineChars="200"/>
        <w:rPr>
          <w:rFonts w:hint="eastAsia" w:ascii="等线 Light" w:hAnsi="等线 Light" w:eastAsia="等线 Light" w:cs="Times New Roman"/>
          <w:sz w:val="24"/>
          <w:highlight w:val="none"/>
        </w:rPr>
      </w:pPr>
      <w:r>
        <w:rPr>
          <w:rFonts w:hint="eastAsia" w:ascii="等线 Light" w:hAnsi="等线 Light" w:eastAsia="等线 Light" w:cs="Times New Roman"/>
          <w:b/>
          <w:bCs/>
          <w:sz w:val="24"/>
          <w:highlight w:val="none"/>
        </w:rPr>
        <w:t>2.</w:t>
      </w:r>
      <w:r>
        <w:rPr>
          <w:rFonts w:hint="default" w:ascii="等线 Light" w:hAnsi="等线 Light" w:eastAsia="等线 Light" w:cs="Times New Roman"/>
          <w:b/>
          <w:bCs/>
          <w:sz w:val="24"/>
          <w:highlight w:val="none"/>
        </w:rPr>
        <w:t>按时足额付薪酬。</w:t>
      </w:r>
      <w:r>
        <w:rPr>
          <w:rFonts w:hint="eastAsia" w:ascii="等线 Light" w:hAnsi="等线 Light" w:eastAsia="等线 Light" w:cs="Times New Roman"/>
          <w:sz w:val="24"/>
          <w:highlight w:val="none"/>
        </w:rPr>
        <w:t>用工方应按约定按时、足额支付演职人员劳动报酬。鼓励积极推行人工费用分账管理、设立薪酬保证金账户、建立薪酬垫付保障机制等措施，从源头堵住“欠薪漏洞”。</w:t>
      </w:r>
    </w:p>
    <w:p w14:paraId="17FB4D4B">
      <w:pPr>
        <w:spacing w:line="360" w:lineRule="auto"/>
        <w:ind w:firstLine="480" w:firstLineChars="200"/>
        <w:rPr>
          <w:rFonts w:hint="eastAsia" w:ascii="等线 Light" w:hAnsi="等线 Light" w:eastAsia="等线 Light" w:cs="Times New Roman"/>
          <w:sz w:val="24"/>
          <w:highlight w:val="none"/>
        </w:rPr>
      </w:pPr>
      <w:r>
        <w:rPr>
          <w:rFonts w:hint="eastAsia" w:ascii="等线 Light" w:hAnsi="等线 Light" w:eastAsia="等线 Light" w:cs="Times New Roman"/>
          <w:b/>
          <w:bCs/>
          <w:sz w:val="24"/>
          <w:highlight w:val="none"/>
        </w:rPr>
        <w:t>3.</w:t>
      </w:r>
      <w:r>
        <w:rPr>
          <w:rFonts w:hint="default" w:ascii="等线 Light" w:hAnsi="等线 Light" w:eastAsia="等线 Light" w:cs="Times New Roman"/>
          <w:b/>
          <w:bCs/>
          <w:sz w:val="24"/>
          <w:highlight w:val="none"/>
        </w:rPr>
        <w:t>防范风险保安全。</w:t>
      </w:r>
      <w:r>
        <w:rPr>
          <w:rFonts w:hint="eastAsia" w:ascii="等线 Light" w:hAnsi="等线 Light" w:eastAsia="等线 Light" w:cs="Times New Roman"/>
          <w:sz w:val="24"/>
          <w:highlight w:val="none"/>
        </w:rPr>
        <w:t>摄制活动配齐“安全三件套”：建立安全保障制度、制定现场应急预案、签署安全生产责任书。针对格斗、爆炸、潜水和高空特技（吊威亚）等高危拍摄任务，还需安排专业人员全程盯场监督。合理规划制作节奏，不安排“超长待机”“连轴转”等透支式工作，保障演职人员休息时间。</w:t>
      </w:r>
    </w:p>
    <w:p w14:paraId="3078FAD8">
      <w:pPr>
        <w:spacing w:line="360" w:lineRule="auto"/>
        <w:ind w:firstLine="480" w:firstLineChars="200"/>
        <w:rPr>
          <w:rFonts w:hint="eastAsia" w:ascii="等线 Light" w:hAnsi="等线 Light" w:eastAsia="等线 Light" w:cs="Times New Roman"/>
          <w:sz w:val="24"/>
          <w:highlight w:val="none"/>
        </w:rPr>
      </w:pPr>
      <w:r>
        <w:rPr>
          <w:rFonts w:hint="eastAsia" w:ascii="等线 Light" w:hAnsi="等线 Light" w:eastAsia="等线 Light" w:cs="Times New Roman"/>
          <w:b/>
          <w:bCs/>
          <w:sz w:val="24"/>
          <w:highlight w:val="none"/>
        </w:rPr>
        <w:t>4.</w:t>
      </w:r>
      <w:r>
        <w:rPr>
          <w:rFonts w:hint="default" w:ascii="等线 Light" w:hAnsi="等线 Light" w:eastAsia="等线 Light" w:cs="Times New Roman"/>
          <w:b/>
          <w:bCs/>
          <w:sz w:val="24"/>
          <w:highlight w:val="none"/>
        </w:rPr>
        <w:t>少儿用工严规范。</w:t>
      </w:r>
      <w:r>
        <w:rPr>
          <w:rFonts w:hint="eastAsia" w:ascii="等线 Light" w:hAnsi="等线 Light" w:eastAsia="等线 Light" w:cs="Times New Roman"/>
          <w:sz w:val="24"/>
          <w:highlight w:val="none"/>
        </w:rPr>
        <w:t>切实保障未成年演员特别是年龄较小的儿童演员的休息权、健康权和受教育权，严格落实监护人全程陪同机制。合理安排拍摄时长，不得安排超负荷工作，不得安排超越年龄认知的暴力、惊悚和情感等戏份，保护儿童演员身心健康。</w:t>
      </w:r>
    </w:p>
    <w:p w14:paraId="68A8CFFC">
      <w:pPr>
        <w:spacing w:line="360" w:lineRule="auto"/>
        <w:ind w:firstLine="480" w:firstLineChars="200"/>
        <w:rPr>
          <w:rFonts w:hint="eastAsia" w:ascii="等线 Light" w:hAnsi="等线 Light" w:eastAsia="等线 Light" w:cs="Times New Roman"/>
          <w:sz w:val="24"/>
          <w:highlight w:val="none"/>
        </w:rPr>
      </w:pPr>
      <w:r>
        <w:rPr>
          <w:rFonts w:hint="eastAsia" w:ascii="等线 Light" w:hAnsi="等线 Light" w:eastAsia="等线 Light" w:cs="Times New Roman"/>
          <w:b/>
          <w:bCs/>
          <w:sz w:val="24"/>
          <w:highlight w:val="none"/>
        </w:rPr>
        <w:t>5.</w:t>
      </w:r>
      <w:r>
        <w:rPr>
          <w:rFonts w:hint="default" w:ascii="等线 Light" w:hAnsi="等线 Light" w:eastAsia="等线 Light" w:cs="Times New Roman"/>
          <w:b/>
          <w:bCs/>
          <w:sz w:val="24"/>
          <w:highlight w:val="none"/>
        </w:rPr>
        <w:t>协同服务护权益。</w:t>
      </w:r>
      <w:r>
        <w:rPr>
          <w:rFonts w:hint="eastAsia" w:ascii="等线 Light" w:hAnsi="等线 Light" w:eastAsia="等线 Light" w:cs="Times New Roman"/>
          <w:sz w:val="24"/>
          <w:highlight w:val="none"/>
        </w:rPr>
        <w:t>微短剧摄制基地联合行业协会等相关方面建立权益保护机制，面向演职人员常态化开展权益保护培训和法律知识普及，提供“一站式”法律咨询与纠纷调解绿色通道，协助对接当地工会、人社等部门，简化维权流程，降低演职人员维权成本。</w:t>
      </w:r>
    </w:p>
    <w:p w14:paraId="70C0FECF">
      <w:pPr>
        <w:spacing w:line="360" w:lineRule="auto"/>
        <w:ind w:firstLine="480" w:firstLineChars="200"/>
        <w:rPr>
          <w:rFonts w:hint="eastAsia" w:ascii="等线 Light" w:hAnsi="等线 Light" w:eastAsia="等线 Light" w:cs="Times New Roman"/>
          <w:sz w:val="24"/>
          <w:highlight w:val="none"/>
        </w:rPr>
      </w:pPr>
      <w:r>
        <w:rPr>
          <w:rFonts w:hint="eastAsia" w:ascii="等线 Light" w:hAnsi="等线 Light" w:eastAsia="等线 Light" w:cs="Times New Roman"/>
          <w:sz w:val="24"/>
          <w:highlight w:val="none"/>
        </w:rPr>
        <w:t>保障演职人员的合法权益，是微短剧行业实现高质量发展的重要前提。全行业要自觉践行自律公约，以诚信立企、以规范兴业，共同守护清朗有序的行业生态、凝聚协同发展的强大合力，推动微短剧行业向阳生长、行稳致远。</w:t>
      </w:r>
    </w:p>
    <w:p w14:paraId="1C49383E">
      <w:pPr>
        <w:spacing w:line="360" w:lineRule="auto"/>
        <w:ind w:firstLine="480" w:firstLineChars="200"/>
        <w:rPr>
          <w:rFonts w:hint="eastAsia" w:ascii="等线 Light" w:hAnsi="等线 Light" w:eastAsia="等线 Light" w:cs="Times New Roman"/>
          <w:sz w:val="24"/>
          <w:highlight w:val="none"/>
        </w:rPr>
      </w:pPr>
      <w:r>
        <w:rPr>
          <w:rFonts w:hint="eastAsia" w:ascii="等线 Light" w:hAnsi="等线 Light" w:eastAsia="等线 Light" w:cs="Times New Roman"/>
          <w:sz w:val="24"/>
          <w:highlight w:val="none"/>
        </w:rPr>
        <w:t> </w:t>
      </w:r>
    </w:p>
    <w:p w14:paraId="37846EAD">
      <w:pPr>
        <w:spacing w:line="360" w:lineRule="auto"/>
        <w:ind w:firstLine="480" w:firstLineChars="200"/>
        <w:rPr>
          <w:rFonts w:hint="eastAsia" w:ascii="等线 Light" w:hAnsi="等线 Light" w:eastAsia="等线 Light" w:cs="Times New Roman"/>
          <w:sz w:val="24"/>
          <w:highlight w:val="none"/>
        </w:rPr>
      </w:pPr>
      <w:r>
        <w:rPr>
          <w:rFonts w:hint="eastAsia" w:ascii="等线 Light" w:hAnsi="等线 Light" w:eastAsia="等线 Light" w:cs="Times New Roman"/>
          <w:sz w:val="24"/>
          <w:highlight w:val="none"/>
        </w:rPr>
        <w:t> </w:t>
      </w:r>
    </w:p>
    <w:p w14:paraId="05C254F9">
      <w:pPr>
        <w:spacing w:line="360" w:lineRule="auto"/>
        <w:ind w:firstLine="480" w:firstLineChars="200"/>
        <w:jc w:val="right"/>
        <w:rPr>
          <w:rFonts w:hint="eastAsia" w:ascii="等线 Light" w:hAnsi="等线 Light" w:eastAsia="等线 Light" w:cs="Times New Roman"/>
          <w:sz w:val="24"/>
          <w:highlight w:val="none"/>
        </w:rPr>
      </w:pPr>
      <w:r>
        <w:rPr>
          <w:rFonts w:hint="eastAsia" w:ascii="等线 Light" w:hAnsi="等线 Light" w:eastAsia="等线 Light" w:cs="Times New Roman"/>
          <w:sz w:val="24"/>
          <w:highlight w:val="none"/>
        </w:rPr>
        <w:t>中国网络视听协会</w:t>
      </w:r>
    </w:p>
    <w:p w14:paraId="69E05143">
      <w:pPr>
        <w:spacing w:line="360" w:lineRule="auto"/>
        <w:ind w:firstLine="480" w:firstLineChars="200"/>
        <w:jc w:val="right"/>
        <w:rPr>
          <w:rFonts w:hint="eastAsia" w:ascii="等线 Light" w:hAnsi="等线 Light" w:eastAsia="等线 Light" w:cs="Times New Roman"/>
          <w:sz w:val="24"/>
          <w:highlight w:val="none"/>
        </w:rPr>
      </w:pPr>
      <w:r>
        <w:rPr>
          <w:rFonts w:hint="eastAsia" w:ascii="等线 Light" w:hAnsi="等线 Light" w:eastAsia="等线 Light" w:cs="Times New Roman"/>
          <w:sz w:val="24"/>
          <w:highlight w:val="none"/>
        </w:rPr>
        <w:t>微短剧工作委员会</w:t>
      </w:r>
    </w:p>
    <w:p w14:paraId="125B154F">
      <w:pPr>
        <w:spacing w:line="360" w:lineRule="auto"/>
        <w:ind w:firstLine="480" w:firstLineChars="200"/>
        <w:jc w:val="right"/>
        <w:rPr>
          <w:rFonts w:hint="eastAsia" w:ascii="等线 Light" w:hAnsi="等线 Light" w:eastAsia="等线 Light" w:cs="Times New Roman"/>
          <w:sz w:val="24"/>
          <w:highlight w:val="none"/>
        </w:rPr>
      </w:pPr>
      <w:r>
        <w:rPr>
          <w:rFonts w:hint="eastAsia" w:ascii="等线 Light" w:hAnsi="等线 Light" w:eastAsia="等线 Light" w:cs="Times New Roman"/>
          <w:sz w:val="24"/>
          <w:highlight w:val="none"/>
        </w:rPr>
        <w:t>2026年2月24日</w:t>
      </w:r>
    </w:p>
    <w:p w14:paraId="6563DFF5">
      <w:pPr>
        <w:numPr>
          <w:ilvl w:val="0"/>
          <w:numId w:val="0"/>
        </w:numPr>
        <w:rPr>
          <w:rFonts w:ascii="微软雅黑" w:hAnsi="微软雅黑" w:eastAsia="微软雅黑" w:cs="微软雅黑"/>
          <w:i w:val="0"/>
          <w:iCs w:val="0"/>
          <w:caps w:val="0"/>
          <w:color w:val="000000"/>
          <w:spacing w:val="0"/>
          <w:sz w:val="27"/>
          <w:szCs w:val="27"/>
        </w:rPr>
      </w:pPr>
    </w:p>
    <w:p w14:paraId="4DB1B482">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right="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来源：</w:t>
      </w:r>
      <w:r>
        <w:rPr>
          <w:rFonts w:hint="eastAsia" w:ascii="仿宋" w:hAnsi="仿宋" w:eastAsia="仿宋" w:cs="仿宋"/>
          <w:i w:val="0"/>
          <w:iCs w:val="0"/>
          <w:caps w:val="0"/>
          <w:color w:val="auto"/>
          <w:spacing w:val="0"/>
          <w:sz w:val="24"/>
          <w:szCs w:val="24"/>
          <w:shd w:val="clear" w:fill="FFFFFF"/>
        </w:rPr>
        <w:t>中国网络视听节目服务协会</w:t>
      </w:r>
    </w:p>
    <w:p w14:paraId="08C72508">
      <w:pPr>
        <w:spacing w:line="360" w:lineRule="auto"/>
        <w:rPr>
          <w:rFonts w:hint="default" w:ascii="等线 Light" w:hAnsi="等线 Light" w:eastAsia="等线 Light" w:cs="Times New Roman"/>
          <w:kern w:val="2"/>
          <w:sz w:val="24"/>
          <w:szCs w:val="24"/>
          <w:highlight w:val="none"/>
          <w:lang w:val="en-US" w:eastAsia="zh-CN" w:bidi="ar-SA"/>
        </w:rPr>
      </w:pPr>
      <w:bookmarkStart w:id="6" w:name="_Toc2133737905"/>
      <w:r>
        <w:rPr>
          <w:rFonts w:hint="default" w:ascii="等线 Light" w:hAnsi="等线 Light" w:eastAsia="等线 Light" w:cs="Times New Roman"/>
          <w:kern w:val="2"/>
          <w:sz w:val="24"/>
          <w:szCs w:val="24"/>
          <w:highlight w:val="none"/>
          <w:lang w:val="en-US" w:eastAsia="zh-CN" w:bidi="ar-SA"/>
        </w:rPr>
        <w:fldChar w:fldCharType="begin"/>
      </w:r>
      <w:r>
        <w:rPr>
          <w:rFonts w:hint="default" w:ascii="等线 Light" w:hAnsi="等线 Light" w:eastAsia="等线 Light" w:cs="Times New Roman"/>
          <w:kern w:val="2"/>
          <w:sz w:val="24"/>
          <w:szCs w:val="24"/>
          <w:highlight w:val="none"/>
          <w:lang w:val="en-US" w:eastAsia="zh-CN" w:bidi="ar-SA"/>
        </w:rPr>
        <w:instrText xml:space="preserve"> HYPERLINK "http://www.cnsa.cn/art/2026/2/24/art_1955_48461.html" </w:instrText>
      </w:r>
      <w:r>
        <w:rPr>
          <w:rFonts w:hint="default" w:ascii="等线 Light" w:hAnsi="等线 Light" w:eastAsia="等线 Light" w:cs="Times New Roman"/>
          <w:kern w:val="2"/>
          <w:sz w:val="24"/>
          <w:szCs w:val="24"/>
          <w:highlight w:val="none"/>
          <w:lang w:val="en-US" w:eastAsia="zh-CN" w:bidi="ar-SA"/>
        </w:rPr>
        <w:fldChar w:fldCharType="separate"/>
      </w:r>
      <w:r>
        <w:rPr>
          <w:rFonts w:hint="default" w:ascii="等线 Light" w:hAnsi="等线 Light" w:eastAsia="等线 Light" w:cs="Times New Roman"/>
          <w:kern w:val="2"/>
          <w:sz w:val="24"/>
          <w:szCs w:val="24"/>
          <w:highlight w:val="none"/>
          <w:lang w:val="en-US" w:eastAsia="zh-CN" w:bidi="ar-SA"/>
        </w:rPr>
        <w:t>http://www.cnsa.cn/art/2026/2/24/art_1955_48461.html</w:t>
      </w:r>
      <w:r>
        <w:rPr>
          <w:rFonts w:hint="default" w:ascii="等线 Light" w:hAnsi="等线 Light" w:eastAsia="等线 Light" w:cs="Times New Roman"/>
          <w:kern w:val="2"/>
          <w:sz w:val="24"/>
          <w:szCs w:val="24"/>
          <w:highlight w:val="none"/>
          <w:lang w:val="en-US" w:eastAsia="zh-CN" w:bidi="ar-SA"/>
        </w:rPr>
        <w:fldChar w:fldCharType="end"/>
      </w:r>
    </w:p>
    <w:p w14:paraId="0C2E58FA">
      <w:pPr>
        <w:spacing w:line="360" w:lineRule="auto"/>
        <w:rPr>
          <w:rFonts w:hint="default" w:ascii="等线 Light" w:hAnsi="等线 Light" w:eastAsia="等线 Light" w:cs="Times New Roman"/>
          <w:kern w:val="2"/>
          <w:sz w:val="24"/>
          <w:szCs w:val="24"/>
          <w:highlight w:val="none"/>
          <w:lang w:val="en-US" w:eastAsia="zh-CN" w:bidi="ar-SA"/>
        </w:rPr>
      </w:pPr>
    </w:p>
    <w:p w14:paraId="1BA330D7">
      <w:pPr>
        <w:spacing w:line="360" w:lineRule="auto"/>
        <w:rPr>
          <w:rFonts w:hint="default" w:ascii="等线 Light" w:hAnsi="等线 Light" w:eastAsia="等线 Light" w:cs="Times New Roman"/>
          <w:kern w:val="2"/>
          <w:sz w:val="24"/>
          <w:szCs w:val="24"/>
          <w:highlight w:val="none"/>
          <w:lang w:val="en-US" w:eastAsia="zh-CN" w:bidi="ar-SA"/>
        </w:rPr>
      </w:pPr>
    </w:p>
    <w:p w14:paraId="635A6684">
      <w:pPr>
        <w:spacing w:line="360" w:lineRule="auto"/>
        <w:rPr>
          <w:rFonts w:hint="default" w:ascii="等线 Light" w:hAnsi="等线 Light" w:eastAsia="等线 Light" w:cs="Times New Roman"/>
          <w:kern w:val="2"/>
          <w:sz w:val="24"/>
          <w:szCs w:val="24"/>
          <w:highlight w:val="none"/>
          <w:lang w:val="en-US" w:eastAsia="zh-CN" w:bidi="ar-SA"/>
        </w:rPr>
      </w:pPr>
    </w:p>
    <w:p w14:paraId="5A2EF06E">
      <w:pPr>
        <w:spacing w:line="360" w:lineRule="auto"/>
        <w:rPr>
          <w:rFonts w:hint="default" w:ascii="等线 Light" w:hAnsi="等线 Light" w:eastAsia="等线 Light" w:cs="Times New Roman"/>
          <w:kern w:val="2"/>
          <w:sz w:val="24"/>
          <w:szCs w:val="24"/>
          <w:highlight w:val="none"/>
          <w:lang w:val="en-US" w:eastAsia="zh-CN" w:bidi="ar-SA"/>
        </w:rPr>
      </w:pPr>
    </w:p>
    <w:p w14:paraId="159942DD">
      <w:pPr>
        <w:spacing w:line="360" w:lineRule="auto"/>
        <w:rPr>
          <w:rFonts w:hint="default" w:ascii="等线 Light" w:hAnsi="等线 Light" w:eastAsia="等线 Light" w:cs="Times New Roman"/>
          <w:kern w:val="2"/>
          <w:sz w:val="24"/>
          <w:szCs w:val="24"/>
          <w:highlight w:val="none"/>
          <w:lang w:val="en-US" w:eastAsia="zh-CN" w:bidi="ar-SA"/>
        </w:rPr>
      </w:pPr>
    </w:p>
    <w:p w14:paraId="541D9C8D">
      <w:pPr>
        <w:keepNext/>
        <w:keepLines/>
        <w:spacing w:line="240" w:lineRule="auto"/>
        <w:outlineLvl w:val="0"/>
        <w:rPr>
          <w:rFonts w:hint="eastAsia" w:ascii="等线 Light" w:hAnsi="等线 Light" w:eastAsia="等线 Light"/>
          <w:b/>
          <w:bCs/>
          <w:kern w:val="44"/>
          <w:sz w:val="44"/>
          <w:szCs w:val="44"/>
          <w:highlight w:val="none"/>
        </w:rPr>
      </w:pPr>
    </w:p>
    <w:p w14:paraId="1E8D817C">
      <w:pPr>
        <w:keepNext/>
        <w:keepLines/>
        <w:spacing w:line="240" w:lineRule="auto"/>
        <w:outlineLvl w:val="0"/>
        <w:rPr>
          <w:rFonts w:hint="eastAsia" w:ascii="等线 Light" w:hAnsi="等线 Light" w:eastAsia="等线 Light"/>
          <w:b/>
          <w:bCs/>
          <w:kern w:val="44"/>
          <w:sz w:val="44"/>
          <w:szCs w:val="44"/>
          <w:highlight w:val="none"/>
        </w:rPr>
      </w:pPr>
    </w:p>
    <w:p w14:paraId="0C508F85">
      <w:pPr>
        <w:keepNext/>
        <w:keepLines/>
        <w:spacing w:line="240" w:lineRule="auto"/>
        <w:outlineLvl w:val="0"/>
        <w:rPr>
          <w:rFonts w:ascii="等线 Light" w:hAnsi="等线 Light" w:eastAsia="等线 Light"/>
          <w:b/>
          <w:bCs/>
          <w:kern w:val="44"/>
          <w:sz w:val="44"/>
          <w:szCs w:val="44"/>
          <w:highlight w:val="none"/>
        </w:rPr>
      </w:pPr>
      <w:r>
        <w:rPr>
          <w:rFonts w:hint="eastAsia" w:ascii="等线 Light" w:hAnsi="等线 Light" w:eastAsia="等线 Light"/>
          <w:b/>
          <w:bCs/>
          <w:kern w:val="44"/>
          <w:sz w:val="44"/>
          <w:szCs w:val="44"/>
          <w:highlight w:val="none"/>
        </w:rPr>
        <w:t>行业动态</w:t>
      </w:r>
      <w:bookmarkEnd w:id="6"/>
    </w:p>
    <w:p w14:paraId="57C999D8">
      <w:pPr>
        <w:keepNext/>
        <w:keepLines/>
        <w:spacing w:before="260" w:after="260" w:line="415" w:lineRule="auto"/>
        <w:outlineLvl w:val="1"/>
        <w:rPr>
          <w:rFonts w:ascii="等线 Light" w:hAnsi="等线 Light" w:eastAsia="等线 Light" w:cs="Times New Roman"/>
          <w:b/>
          <w:bCs/>
          <w:sz w:val="32"/>
          <w:szCs w:val="32"/>
          <w:highlight w:val="none"/>
        </w:rPr>
      </w:pPr>
      <w:bookmarkStart w:id="7" w:name="_Toc903548082"/>
      <w:r>
        <w:rPr>
          <w:rFonts w:hint="eastAsia" w:ascii="等线 Light" w:hAnsi="等线 Light" w:eastAsia="等线 Light" w:cs="Times New Roman"/>
          <w:b/>
          <w:bCs/>
          <w:sz w:val="32"/>
          <w:szCs w:val="32"/>
          <w:highlight w:val="none"/>
        </w:rPr>
        <w:t xml:space="preserve">1. </w:t>
      </w:r>
      <w:bookmarkEnd w:id="7"/>
      <w:r>
        <w:rPr>
          <w:rFonts w:hint="eastAsia" w:ascii="等线 Light" w:hAnsi="等线 Light" w:eastAsia="等线 Light" w:cs="Times New Roman"/>
          <w:b/>
          <w:bCs/>
          <w:sz w:val="32"/>
          <w:szCs w:val="32"/>
          <w:highlight w:val="none"/>
        </w:rPr>
        <w:t>网络直播“砸蛋开盲盒”，还是开设赌场？</w:t>
      </w:r>
    </w:p>
    <w:p w14:paraId="24AD58D5">
      <w:pPr>
        <w:spacing w:line="360" w:lineRule="auto"/>
        <w:ind w:firstLine="480" w:firstLineChars="200"/>
        <w:rPr>
          <w:rFonts w:hint="eastAsia" w:ascii="等线 Light" w:hAnsi="等线 Light" w:eastAsia="等线 Light" w:cs="Times New Roman"/>
          <w:sz w:val="24"/>
          <w:highlight w:val="none"/>
          <w:lang w:val="en-US" w:eastAsia="zh-CN"/>
        </w:rPr>
      </w:pPr>
      <w:r>
        <w:rPr>
          <w:rFonts w:hint="eastAsia" w:ascii="等线 Light" w:hAnsi="等线 Light" w:eastAsia="等线 Light" w:cs="Times New Roman"/>
          <w:sz w:val="24"/>
          <w:highlight w:val="none"/>
          <w:lang w:val="en-US" w:eastAsia="zh-CN"/>
        </w:rPr>
        <w:t xml:space="preserve">看似是线上“砸蛋开盲盒”的游戏， 背后却是有人专门委托技术公司开发软件， 悄悄从事网络赌博活动。 那么这些涉案人员， 将面临怎样的法律处罚？ </w:t>
      </w:r>
    </w:p>
    <w:p w14:paraId="7E636429">
      <w:pPr>
        <w:spacing w:line="360" w:lineRule="auto"/>
        <w:rPr>
          <w:rFonts w:hint="eastAsia" w:ascii="等线 Light" w:hAnsi="等线 Light" w:eastAsia="等线 Light" w:cs="Times New Roman"/>
          <w:sz w:val="24"/>
          <w:highlight w:val="none"/>
          <w:lang w:val="en-US" w:eastAsia="zh-CN"/>
        </w:rPr>
      </w:pPr>
      <w:r>
        <w:rPr>
          <w:rFonts w:hint="eastAsia" w:ascii="等线 Light" w:hAnsi="等线 Light" w:eastAsia="等线 Light" w:cs="Times New Roman"/>
          <w:sz w:val="24"/>
          <w:highlight w:val="none"/>
          <w:lang w:val="en-US" w:eastAsia="zh-CN"/>
        </w:rPr>
        <w:t xml:space="preserve"> 近期，上海市嘉定区人民法院（以下简称嘉定区人民法院）审理了一起线上开设赌场罪案件。  </w:t>
      </w:r>
    </w:p>
    <w:p w14:paraId="614E36A8">
      <w:pPr>
        <w:spacing w:line="360" w:lineRule="auto"/>
        <w:rPr>
          <w:rFonts w:hint="eastAsia" w:ascii="等线 Light" w:hAnsi="等线 Light" w:eastAsia="等线 Light" w:cs="Times New Roman"/>
          <w:sz w:val="24"/>
          <w:highlight w:val="none"/>
          <w:lang w:val="en-US" w:eastAsia="zh-CN"/>
        </w:rPr>
      </w:pPr>
      <w:r>
        <w:rPr>
          <w:rFonts w:hint="eastAsia" w:ascii="等线 Light" w:hAnsi="等线 Light" w:eastAsia="等线 Light" w:cs="Times New Roman"/>
          <w:sz w:val="24"/>
          <w:highlight w:val="none"/>
          <w:lang w:val="en-US" w:eastAsia="zh-CN"/>
        </w:rPr>
        <w:t xml:space="preserve">   </w:t>
      </w:r>
      <w:r>
        <w:rPr>
          <w:rFonts w:hint="eastAsia" w:ascii="等线 Light" w:hAnsi="等线 Light" w:eastAsia="等线 Light" w:cs="Times New Roman"/>
          <w:b/>
          <w:bCs/>
          <w:sz w:val="24"/>
          <w:highlight w:val="none"/>
          <w:lang w:val="en-US" w:eastAsia="zh-CN"/>
        </w:rPr>
        <w:t xml:space="preserve">案情回顾  </w:t>
      </w:r>
      <w:r>
        <w:rPr>
          <w:rFonts w:hint="eastAsia" w:ascii="等线 Light" w:hAnsi="等线 Light" w:eastAsia="等线 Light" w:cs="Times New Roman"/>
          <w:sz w:val="24"/>
          <w:highlight w:val="none"/>
          <w:lang w:val="en-US" w:eastAsia="zh-CN"/>
        </w:rPr>
        <w:t xml:space="preserve">     </w:t>
      </w:r>
    </w:p>
    <w:p w14:paraId="5563B141">
      <w:pPr>
        <w:spacing w:line="360" w:lineRule="auto"/>
        <w:ind w:firstLine="480" w:firstLineChars="200"/>
        <w:rPr>
          <w:rFonts w:hint="eastAsia" w:ascii="等线 Light" w:hAnsi="等线 Light" w:eastAsia="等线 Light" w:cs="Times New Roman"/>
          <w:sz w:val="24"/>
          <w:highlight w:val="none"/>
          <w:lang w:val="en-US" w:eastAsia="zh-CN"/>
        </w:rPr>
      </w:pPr>
      <w:r>
        <w:rPr>
          <w:rFonts w:hint="eastAsia" w:ascii="等线 Light" w:hAnsi="等线 Light" w:eastAsia="等线 Light" w:cs="Times New Roman"/>
          <w:sz w:val="24"/>
          <w:highlight w:val="none"/>
          <w:lang w:val="en-US" w:eastAsia="zh-CN"/>
        </w:rPr>
        <w:t>2022年7月起，王某为牟取非法利益，委托某科技公司为其开发一款“砸蛋”软件。一个多月后，科技公司完成该软件的开发工作，并交付王某上线运营。</w:t>
      </w:r>
    </w:p>
    <w:p w14:paraId="003EC0FD">
      <w:pPr>
        <w:spacing w:line="360" w:lineRule="auto"/>
        <w:ind w:firstLine="480" w:firstLineChars="200"/>
        <w:rPr>
          <w:rFonts w:hint="eastAsia" w:ascii="等线 Light" w:hAnsi="等线 Light" w:eastAsia="等线 Light" w:cs="Times New Roman"/>
          <w:sz w:val="24"/>
          <w:highlight w:val="none"/>
          <w:lang w:val="en-US" w:eastAsia="zh-CN"/>
        </w:rPr>
      </w:pPr>
      <w:r>
        <w:rPr>
          <w:rFonts w:hint="eastAsia" w:ascii="等线 Light" w:hAnsi="等线 Light" w:eastAsia="等线 Light" w:cs="Times New Roman"/>
          <w:sz w:val="24"/>
          <w:highlight w:val="none"/>
          <w:lang w:val="en-US" w:eastAsia="zh-CN"/>
        </w:rPr>
        <w:t xml:space="preserve">此后，为吸引更多玩家参与，王某又委托科技公司开发了十余款相似功能的软件。 </w:t>
      </w:r>
    </w:p>
    <w:p w14:paraId="37968460">
      <w:pPr>
        <w:spacing w:line="360" w:lineRule="auto"/>
        <w:ind w:firstLine="480" w:firstLineChars="200"/>
        <w:rPr>
          <w:rFonts w:hint="eastAsia" w:ascii="等线 Light" w:hAnsi="等线 Light" w:eastAsia="等线 Light" w:cs="Times New Roman"/>
          <w:sz w:val="24"/>
          <w:highlight w:val="none"/>
          <w:lang w:val="en-US" w:eastAsia="zh-CN"/>
        </w:rPr>
      </w:pPr>
      <w:r>
        <w:rPr>
          <w:rFonts w:hint="eastAsia" w:ascii="等线 Light" w:hAnsi="等线 Light" w:eastAsia="等线 Light" w:cs="Times New Roman"/>
          <w:sz w:val="24"/>
          <w:highlight w:val="none"/>
          <w:lang w:val="en-US" w:eastAsia="zh-CN"/>
        </w:rPr>
        <w:t xml:space="preserve">为运行这些软件，王某先后招募了多位厅主，再由厅主招募主持人。玩家依照主持人的指令，在直播间内现金转账充值获得相应游戏币，打赏主播后可参与“砸蛋开盲盒”游戏，每次消耗一定数量的游戏币便可进行“砸蛋”抽奖，抽出价值不等的游戏币。游戏结束后，玩家可将剩余的游戏币按比例兑换成现金。此类“砸蛋开盲盒”赌博游戏，让众多想以小搏大的玩家们沉迷。王某则与厅主直接进行赌资结算，并从中抽成。 </w:t>
      </w:r>
    </w:p>
    <w:p w14:paraId="430441F6">
      <w:pPr>
        <w:spacing w:line="360" w:lineRule="auto"/>
        <w:ind w:firstLine="480" w:firstLineChars="200"/>
        <w:rPr>
          <w:rFonts w:hint="eastAsia" w:ascii="等线 Light" w:hAnsi="等线 Light" w:eastAsia="等线 Light" w:cs="Times New Roman"/>
          <w:sz w:val="24"/>
          <w:highlight w:val="none"/>
          <w:lang w:val="en-US" w:eastAsia="zh-CN"/>
        </w:rPr>
      </w:pPr>
      <w:r>
        <w:rPr>
          <w:rFonts w:hint="eastAsia" w:ascii="等线 Light" w:hAnsi="等线 Light" w:eastAsia="等线 Light" w:cs="Times New Roman"/>
          <w:sz w:val="24"/>
          <w:highlight w:val="none"/>
          <w:lang w:val="en-US" w:eastAsia="zh-CN"/>
        </w:rPr>
        <w:t xml:space="preserve">为逃避监查，某科技公司按照王某要求，不定期对软件进行更名、界面设计等“换皮”服务及功能优化，并为软件的运行提供技术支持。 </w:t>
      </w:r>
    </w:p>
    <w:p w14:paraId="6D43475C">
      <w:pPr>
        <w:spacing w:line="360" w:lineRule="auto"/>
        <w:ind w:firstLine="480" w:firstLineChars="200"/>
        <w:rPr>
          <w:rFonts w:hint="eastAsia" w:ascii="等线 Light" w:hAnsi="等线 Light" w:eastAsia="等线 Light" w:cs="Times New Roman"/>
          <w:sz w:val="24"/>
          <w:highlight w:val="none"/>
          <w:lang w:val="en-US" w:eastAsia="zh-CN"/>
        </w:rPr>
      </w:pPr>
      <w:r>
        <w:rPr>
          <w:rFonts w:hint="eastAsia" w:ascii="等线 Light" w:hAnsi="等线 Light" w:eastAsia="等线 Light" w:cs="Times New Roman"/>
          <w:sz w:val="24"/>
          <w:highlight w:val="none"/>
          <w:lang w:val="en-US" w:eastAsia="zh-CN"/>
        </w:rPr>
        <w:t xml:space="preserve">2023年7月，公安机关接到举报，先后抓获王某及某科技公司法定代表人（即实际经营人）徐某、软件开发负责人周某等3人。 </w:t>
      </w:r>
    </w:p>
    <w:p w14:paraId="4CC49230">
      <w:pPr>
        <w:spacing w:line="360" w:lineRule="auto"/>
        <w:ind w:firstLine="480" w:firstLineChars="200"/>
        <w:rPr>
          <w:rFonts w:hint="eastAsia" w:ascii="等线 Light" w:hAnsi="等线 Light" w:eastAsia="等线 Light" w:cs="Times New Roman"/>
          <w:sz w:val="24"/>
          <w:highlight w:val="none"/>
          <w:lang w:val="en-US" w:eastAsia="zh-CN"/>
        </w:rPr>
      </w:pPr>
      <w:r>
        <w:rPr>
          <w:rFonts w:hint="eastAsia" w:ascii="等线 Light" w:hAnsi="等线 Light" w:eastAsia="等线 Light" w:cs="Times New Roman"/>
          <w:sz w:val="24"/>
          <w:highlight w:val="none"/>
          <w:lang w:val="en-US" w:eastAsia="zh-CN"/>
        </w:rPr>
        <w:t xml:space="preserve">经司法审计，一年间，王某与厅主结算赌资130余万元，并支付给某科技公司软件开发费用18万元。 </w:t>
      </w:r>
    </w:p>
    <w:p w14:paraId="3DA8BDDF">
      <w:pPr>
        <w:spacing w:line="360" w:lineRule="auto"/>
        <w:ind w:firstLine="480" w:firstLineChars="200"/>
        <w:rPr>
          <w:rFonts w:hint="eastAsia" w:ascii="等线 Light" w:hAnsi="等线 Light" w:eastAsia="等线 Light" w:cs="Times New Roman"/>
          <w:sz w:val="24"/>
          <w:highlight w:val="none"/>
          <w:lang w:val="en-US" w:eastAsia="zh-CN"/>
        </w:rPr>
      </w:pPr>
      <w:r>
        <w:rPr>
          <w:rFonts w:hint="eastAsia" w:ascii="等线 Light" w:hAnsi="等线 Light" w:eastAsia="等线 Light" w:cs="Times New Roman"/>
          <w:sz w:val="24"/>
          <w:highlight w:val="none"/>
          <w:lang w:val="en-US" w:eastAsia="zh-CN"/>
        </w:rPr>
        <w:t>后检察机关以王某、徐某、周某三人涉嫌开设赌场罪向人民法院提起公诉。三人到案后如实供述自己的罪行，并自愿认罪认罚。</w:t>
      </w:r>
    </w:p>
    <w:p w14:paraId="7CF4B533">
      <w:pPr>
        <w:spacing w:line="360" w:lineRule="auto"/>
        <w:ind w:firstLine="480" w:firstLineChars="200"/>
        <w:rPr>
          <w:rFonts w:hint="eastAsia" w:ascii="等线 Light" w:hAnsi="等线 Light" w:eastAsia="等线 Light" w:cs="Times New Roman"/>
          <w:sz w:val="24"/>
          <w:highlight w:val="none"/>
          <w:lang w:val="en-US" w:eastAsia="zh-CN"/>
        </w:rPr>
      </w:pPr>
      <w:r>
        <w:rPr>
          <w:rFonts w:hint="eastAsia" w:ascii="等线 Light" w:hAnsi="等线 Light" w:eastAsia="等线 Light" w:cs="Times New Roman"/>
          <w:b/>
          <w:bCs/>
          <w:sz w:val="24"/>
          <w:highlight w:val="none"/>
          <w:lang w:val="en-US" w:eastAsia="zh-CN"/>
        </w:rPr>
        <w:t xml:space="preserve">人民法院裁判      </w:t>
      </w:r>
      <w:r>
        <w:rPr>
          <w:rFonts w:hint="eastAsia" w:ascii="等线 Light" w:hAnsi="等线 Light" w:eastAsia="等线 Light" w:cs="Times New Roman"/>
          <w:sz w:val="24"/>
          <w:highlight w:val="none"/>
          <w:lang w:val="en-US" w:eastAsia="zh-CN"/>
        </w:rPr>
        <w:t xml:space="preserve"> </w:t>
      </w:r>
    </w:p>
    <w:p w14:paraId="062BB4EC">
      <w:pPr>
        <w:spacing w:line="360" w:lineRule="auto"/>
        <w:rPr>
          <w:rFonts w:hint="eastAsia" w:ascii="等线 Light" w:hAnsi="等线 Light" w:eastAsia="等线 Light" w:cs="Times New Roman"/>
          <w:sz w:val="24"/>
          <w:highlight w:val="none"/>
          <w:lang w:val="en-US" w:eastAsia="zh-CN"/>
        </w:rPr>
      </w:pPr>
      <w:r>
        <w:rPr>
          <w:rFonts w:hint="eastAsia" w:ascii="等线 Light" w:hAnsi="等线 Light" w:eastAsia="等线 Light" w:cs="Times New Roman"/>
          <w:sz w:val="24"/>
          <w:highlight w:val="none"/>
          <w:lang w:val="en-US" w:eastAsia="zh-CN"/>
        </w:rPr>
        <w:t xml:space="preserve"> 嘉定区人民法院经审理认为，被告人王某为牟取非法利益，利用互联网开设赌场，被告人徐某、周某明知他人开设赌场而提供技术帮助，三人的行为均已构成开设赌场罪。 </w:t>
      </w:r>
    </w:p>
    <w:p w14:paraId="730DE801">
      <w:pPr>
        <w:spacing w:line="360" w:lineRule="auto"/>
        <w:ind w:firstLine="480" w:firstLineChars="200"/>
        <w:rPr>
          <w:rFonts w:hint="eastAsia" w:ascii="等线 Light" w:hAnsi="等线 Light" w:eastAsia="等线 Light" w:cs="Times New Roman"/>
          <w:sz w:val="24"/>
          <w:highlight w:val="none"/>
          <w:lang w:val="en-US" w:eastAsia="zh-CN"/>
        </w:rPr>
      </w:pPr>
      <w:r>
        <w:rPr>
          <w:rFonts w:hint="eastAsia" w:ascii="等线 Light" w:hAnsi="等线 Light" w:eastAsia="等线 Light" w:cs="Times New Roman"/>
          <w:sz w:val="24"/>
          <w:highlight w:val="none"/>
          <w:lang w:val="en-US" w:eastAsia="zh-CN"/>
        </w:rPr>
        <w:t xml:space="preserve">王某在共同犯罪中起主要作用，为主犯；徐某、周某起次要、辅助作用，为从犯。审理中，三名被告人均预缴了罚金，被告人徐某主动退出违法所得1.5万元。 </w:t>
      </w:r>
    </w:p>
    <w:p w14:paraId="20762DBB">
      <w:pPr>
        <w:spacing w:line="360" w:lineRule="auto"/>
        <w:ind w:firstLine="480" w:firstLineChars="200"/>
        <w:rPr>
          <w:rFonts w:hint="eastAsia" w:ascii="等线 Light" w:hAnsi="等线 Light" w:eastAsia="等线 Light" w:cs="Times New Roman"/>
          <w:sz w:val="24"/>
          <w:highlight w:val="none"/>
          <w:lang w:val="en-US" w:eastAsia="zh-CN"/>
        </w:rPr>
      </w:pPr>
      <w:r>
        <w:rPr>
          <w:rFonts w:hint="eastAsia" w:ascii="等线 Light" w:hAnsi="等线 Light" w:eastAsia="等线 Light" w:cs="Times New Roman"/>
          <w:sz w:val="24"/>
          <w:highlight w:val="none"/>
          <w:lang w:val="en-US" w:eastAsia="zh-CN"/>
        </w:rPr>
        <w:t xml:space="preserve">据此，人民法院以开设赌场罪依法判处被告人王某有期徒刑三年，并处罚金七万二千元；判处被告人徐某有期徒刑一年六个月，并处罚金一万八千元；判处被告人周某有期徒刑十个月，并处罚金一万四千元。 </w:t>
      </w:r>
    </w:p>
    <w:p w14:paraId="33EBBB57">
      <w:pPr>
        <w:spacing w:line="360" w:lineRule="auto"/>
        <w:ind w:firstLine="480" w:firstLineChars="200"/>
        <w:rPr>
          <w:rFonts w:hint="eastAsia" w:ascii="等线 Light" w:hAnsi="等线 Light" w:eastAsia="等线 Light" w:cs="Times New Roman"/>
          <w:sz w:val="24"/>
          <w:highlight w:val="none"/>
          <w:lang w:val="en-US" w:eastAsia="zh-CN"/>
        </w:rPr>
      </w:pPr>
      <w:r>
        <w:rPr>
          <w:rFonts w:hint="eastAsia" w:ascii="等线 Light" w:hAnsi="等线 Light" w:eastAsia="等线 Light" w:cs="Times New Roman"/>
          <w:sz w:val="24"/>
          <w:highlight w:val="none"/>
          <w:lang w:val="en-US" w:eastAsia="zh-CN"/>
        </w:rPr>
        <w:t>一审判决后，被告人均未上诉，判决现已生效。</w:t>
      </w:r>
    </w:p>
    <w:p w14:paraId="751BD66B">
      <w:pPr>
        <w:spacing w:line="360" w:lineRule="auto"/>
        <w:ind w:firstLine="480" w:firstLineChars="200"/>
        <w:rPr>
          <w:rFonts w:hint="eastAsia" w:ascii="等线 Light" w:hAnsi="等线 Light" w:eastAsia="等线 Light" w:cs="Times New Roman"/>
          <w:b/>
          <w:bCs/>
          <w:sz w:val="24"/>
          <w:highlight w:val="none"/>
          <w:lang w:val="en-US" w:eastAsia="zh-CN"/>
        </w:rPr>
      </w:pPr>
      <w:r>
        <w:rPr>
          <w:rFonts w:hint="eastAsia" w:ascii="等线 Light" w:hAnsi="等线 Light" w:eastAsia="等线 Light" w:cs="Times New Roman"/>
          <w:b/>
          <w:bCs/>
          <w:sz w:val="24"/>
          <w:highlight w:val="none"/>
          <w:lang w:val="en-US" w:eastAsia="zh-CN"/>
        </w:rPr>
        <w:t>法官说法</w:t>
      </w:r>
    </w:p>
    <w:p w14:paraId="10DDB976">
      <w:pPr>
        <w:spacing w:line="360" w:lineRule="auto"/>
        <w:ind w:firstLine="480" w:firstLineChars="200"/>
        <w:rPr>
          <w:rFonts w:hint="eastAsia" w:ascii="等线 Light" w:hAnsi="等线 Light" w:eastAsia="等线 Light" w:cs="Times New Roman"/>
          <w:sz w:val="24"/>
          <w:highlight w:val="none"/>
          <w:lang w:val="en-US" w:eastAsia="zh-CN"/>
        </w:rPr>
      </w:pPr>
      <w:r>
        <w:rPr>
          <w:rFonts w:hint="eastAsia" w:ascii="等线 Light" w:hAnsi="等线 Light" w:eastAsia="等线 Light" w:cs="Times New Roman"/>
          <w:sz w:val="24"/>
          <w:highlight w:val="none"/>
          <w:lang w:val="en-US" w:eastAsia="zh-CN"/>
        </w:rPr>
        <w:t xml:space="preserve">近年来，随着互联网的普及和网络直播的兴起，线上直播“砸蛋开盲盒”等活动日益增多，这类行为看似是游戏，实则可能为涉赌类犯罪活动。值得一提的是，本案中，某科技公司人员在明知王某开设赌场仍提供技术帮助，其行为同样触碰了法律红线，构成开设赌场罪。 </w:t>
      </w:r>
    </w:p>
    <w:p w14:paraId="2DBB9FF6">
      <w:pPr>
        <w:spacing w:line="360" w:lineRule="auto"/>
        <w:rPr>
          <w:rFonts w:hint="eastAsia" w:ascii="等线 Light" w:hAnsi="等线 Light" w:eastAsia="等线 Light" w:cs="Times New Roman"/>
          <w:b/>
          <w:bCs/>
          <w:sz w:val="24"/>
          <w:highlight w:val="none"/>
          <w:lang w:val="en-US" w:eastAsia="zh-CN"/>
        </w:rPr>
      </w:pPr>
      <w:r>
        <w:rPr>
          <w:rFonts w:hint="eastAsia" w:ascii="等线 Light" w:hAnsi="等线 Light" w:eastAsia="等线 Light" w:cs="Times New Roman"/>
          <w:sz w:val="24"/>
          <w:highlight w:val="none"/>
          <w:lang w:val="en-US" w:eastAsia="zh-CN"/>
        </w:rPr>
        <w:t xml:space="preserve">     </w:t>
      </w:r>
      <w:r>
        <w:rPr>
          <w:rFonts w:hint="eastAsia" w:ascii="等线 Light" w:hAnsi="等线 Light" w:eastAsia="等线 Light" w:cs="Times New Roman"/>
          <w:b/>
          <w:bCs/>
          <w:sz w:val="24"/>
          <w:highlight w:val="none"/>
          <w:lang w:val="en-US" w:eastAsia="zh-CN"/>
        </w:rPr>
        <w:t xml:space="preserve">一、涉及资金双向兑付的线上“砸蛋开盲盒”本质为赌博 </w:t>
      </w:r>
    </w:p>
    <w:p w14:paraId="4EFF7DA4">
      <w:pPr>
        <w:spacing w:line="360" w:lineRule="auto"/>
        <w:ind w:firstLine="480" w:firstLineChars="200"/>
        <w:rPr>
          <w:rFonts w:hint="eastAsia" w:ascii="等线 Light" w:hAnsi="等线 Light" w:eastAsia="等线 Light" w:cs="Times New Roman"/>
          <w:sz w:val="24"/>
          <w:highlight w:val="none"/>
          <w:lang w:val="en-US" w:eastAsia="zh-CN"/>
        </w:rPr>
      </w:pPr>
      <w:r>
        <w:rPr>
          <w:rFonts w:hint="eastAsia" w:ascii="等线 Light" w:hAnsi="等线 Light" w:eastAsia="等线 Light" w:cs="Times New Roman"/>
          <w:sz w:val="24"/>
          <w:highlight w:val="none"/>
          <w:lang w:val="en-US" w:eastAsia="zh-CN"/>
        </w:rPr>
        <w:t xml:space="preserve">赌博本质上是以财物下注，利用偶然性结果决定财物分配，本案中资金可进可出的“砸蛋开盲盒”游戏，就是利用概率来决定财物分配，本质属于赌博。一般而言，判断这类游戏是娱乐还是赌博，关键看用户能否利用概率获得金钱收益。普通娱乐性的“开盲盒”仅为用户提供情绪价值与娱乐体验，而一旦支持奖品兑换成金钱，就容易诱发以小搏大的赌徒心理，具有成瘾性。因此，存在资金双向兑付的“砸蛋开盲盒”，极有可能涉赌。此类线上开设赌场的行为，形式多样、投注简易、隐蔽性强，相较于线下赌场，社会危害性更大。 </w:t>
      </w:r>
    </w:p>
    <w:p w14:paraId="2AA2FAD7">
      <w:pPr>
        <w:spacing w:line="360" w:lineRule="auto"/>
        <w:rPr>
          <w:rFonts w:hint="eastAsia" w:ascii="等线 Light" w:hAnsi="等线 Light" w:eastAsia="等线 Light" w:cs="Times New Roman"/>
          <w:b/>
          <w:bCs/>
          <w:sz w:val="24"/>
          <w:highlight w:val="none"/>
          <w:lang w:val="en-US" w:eastAsia="zh-CN"/>
        </w:rPr>
      </w:pPr>
      <w:r>
        <w:rPr>
          <w:rFonts w:hint="eastAsia" w:ascii="等线 Light" w:hAnsi="等线 Light" w:eastAsia="等线 Light" w:cs="Times New Roman"/>
          <w:sz w:val="24"/>
          <w:highlight w:val="none"/>
          <w:lang w:val="en-US" w:eastAsia="zh-CN"/>
        </w:rPr>
        <w:t xml:space="preserve">    </w:t>
      </w:r>
      <w:r>
        <w:rPr>
          <w:rFonts w:hint="eastAsia" w:ascii="等线 Light" w:hAnsi="等线 Light" w:eastAsia="等线 Light" w:cs="Times New Roman"/>
          <w:b/>
          <w:bCs/>
          <w:sz w:val="24"/>
          <w:highlight w:val="none"/>
          <w:lang w:val="en-US" w:eastAsia="zh-CN"/>
        </w:rPr>
        <w:t xml:space="preserve"> 二、提供技术支持也可能构成开设赌场罪 </w:t>
      </w:r>
    </w:p>
    <w:p w14:paraId="61D66D47">
      <w:pPr>
        <w:spacing w:line="360" w:lineRule="auto"/>
        <w:ind w:firstLine="480" w:firstLineChars="200"/>
        <w:rPr>
          <w:rFonts w:hint="eastAsia" w:ascii="等线 Light" w:hAnsi="等线 Light" w:eastAsia="等线 Light" w:cs="Times New Roman"/>
          <w:sz w:val="24"/>
          <w:highlight w:val="none"/>
          <w:lang w:val="en-US" w:eastAsia="zh-CN"/>
        </w:rPr>
      </w:pPr>
      <w:r>
        <w:rPr>
          <w:rFonts w:hint="eastAsia" w:ascii="等线 Light" w:hAnsi="等线 Light" w:eastAsia="等线 Light" w:cs="Times New Roman"/>
          <w:sz w:val="24"/>
          <w:highlight w:val="none"/>
          <w:lang w:val="en-US" w:eastAsia="zh-CN"/>
        </w:rPr>
        <w:t xml:space="preserve">根据《中华人民共和国刑法》第二十五条的规定，二人以上共同故意犯罪构成共同犯罪，即行为人之间存在犯意联络，共同实施了犯罪行为。类似本案为涉赌“砸蛋开盲盒”游戏提供技术支持的人员，若主观上明知他人开发网络游戏是为开设网络赌场，仍为他人提供游戏开发、技术支持等，应当认定主观上具有开设赌场的共同故意，客观上实施了开设赌场所必须的技术帮助行为，是开设赌场的共同犯罪。根据罪责刑相适应原则，对于此类为涉赌游戏提供技术支持的人员，应当综合考量其在案件中的实际地位、作用等给予相应处罚。 </w:t>
      </w:r>
    </w:p>
    <w:p w14:paraId="6D87E30E">
      <w:pPr>
        <w:spacing w:line="360" w:lineRule="auto"/>
        <w:ind w:firstLine="480" w:firstLineChars="200"/>
        <w:rPr>
          <w:rFonts w:hint="eastAsia" w:ascii="等线 Light" w:hAnsi="等线 Light" w:eastAsia="等线 Light" w:cs="Times New Roman"/>
          <w:b/>
          <w:bCs/>
          <w:sz w:val="24"/>
          <w:highlight w:val="none"/>
          <w:lang w:val="en-US" w:eastAsia="zh-CN"/>
        </w:rPr>
      </w:pPr>
      <w:r>
        <w:rPr>
          <w:rFonts w:hint="eastAsia" w:ascii="等线 Light" w:hAnsi="等线 Light" w:eastAsia="等线 Light" w:cs="Times New Roman"/>
          <w:b/>
          <w:bCs/>
          <w:sz w:val="24"/>
          <w:highlight w:val="none"/>
          <w:lang w:val="en-US" w:eastAsia="zh-CN"/>
        </w:rPr>
        <w:t xml:space="preserve">三、共同营造风清气正的良好网络环境 </w:t>
      </w:r>
    </w:p>
    <w:p w14:paraId="43A6141D">
      <w:pPr>
        <w:spacing w:line="360" w:lineRule="auto"/>
        <w:ind w:firstLine="480" w:firstLineChars="200"/>
        <w:rPr>
          <w:rFonts w:hint="eastAsia" w:ascii="等线 Light" w:hAnsi="等线 Light" w:eastAsia="等线 Light" w:cs="Times New Roman"/>
          <w:sz w:val="24"/>
          <w:highlight w:val="none"/>
          <w:lang w:val="en-US" w:eastAsia="zh-CN"/>
        </w:rPr>
      </w:pPr>
      <w:r>
        <w:rPr>
          <w:rFonts w:hint="eastAsia" w:ascii="等线 Light" w:hAnsi="等线 Light" w:eastAsia="等线 Light" w:cs="Times New Roman"/>
          <w:sz w:val="24"/>
          <w:highlight w:val="none"/>
          <w:lang w:val="en-US" w:eastAsia="zh-CN"/>
        </w:rPr>
        <w:t xml:space="preserve">不法分子为非法牟利，将网络直播异化为网络赌博，相关行为破坏了网络生态环境、妨害了社会管理秩序。 </w:t>
      </w:r>
    </w:p>
    <w:p w14:paraId="427AB208">
      <w:pPr>
        <w:spacing w:line="360" w:lineRule="auto"/>
        <w:ind w:firstLine="480" w:firstLineChars="200"/>
        <w:rPr>
          <w:rFonts w:hint="eastAsia" w:ascii="等线 Light" w:hAnsi="等线 Light" w:eastAsia="等线 Light" w:cs="Times New Roman"/>
          <w:sz w:val="24"/>
          <w:highlight w:val="none"/>
          <w:lang w:val="en-US" w:eastAsia="zh-CN"/>
        </w:rPr>
      </w:pPr>
      <w:r>
        <w:rPr>
          <w:rFonts w:hint="eastAsia" w:ascii="等线 Light" w:hAnsi="等线 Light" w:eastAsia="等线 Light" w:cs="Times New Roman"/>
          <w:sz w:val="24"/>
          <w:highlight w:val="none"/>
          <w:lang w:val="en-US" w:eastAsia="zh-CN"/>
        </w:rPr>
        <w:t xml:space="preserve">直播平台方必须严格履行主体责任，健全审核机制，及时做好风险提示。对可能涉及博彩性质的内容（如游戏、抽奖），应实时巡查，发现违规游戏内容立即采取下架、封禁直播间等措施。此外，平台方还可对“开盲盒”类的射幸游戏，设置显著的弹窗提示，警示法律风险，履行必要的提醒义务。 </w:t>
      </w:r>
    </w:p>
    <w:p w14:paraId="5AC547DC">
      <w:pPr>
        <w:spacing w:line="360" w:lineRule="auto"/>
        <w:ind w:firstLine="480" w:firstLineChars="200"/>
        <w:rPr>
          <w:rFonts w:hint="eastAsia" w:ascii="等线 Light" w:hAnsi="等线 Light" w:eastAsia="等线 Light" w:cs="Times New Roman"/>
          <w:sz w:val="24"/>
          <w:highlight w:val="none"/>
          <w:lang w:val="en-US" w:eastAsia="zh-CN"/>
        </w:rPr>
      </w:pPr>
      <w:r>
        <w:rPr>
          <w:rFonts w:hint="eastAsia" w:ascii="等线 Light" w:hAnsi="等线 Light" w:eastAsia="等线 Light" w:cs="Times New Roman"/>
          <w:sz w:val="24"/>
          <w:highlight w:val="none"/>
          <w:lang w:val="en-US" w:eastAsia="zh-CN"/>
        </w:rPr>
        <w:t xml:space="preserve">网络游戏开发者及运维人员应严格遵守法律底线，杜绝违法犯罪行为。技术是立身之本，但法律是底线。实际工作中，若发现可疑代码或者认为业务模式可疑，应拒绝提供技术开发与运维，切勿因高薪诱惑盲目服从上级指令。 </w:t>
      </w:r>
    </w:p>
    <w:p w14:paraId="096F28C9">
      <w:pPr>
        <w:spacing w:line="360" w:lineRule="auto"/>
        <w:ind w:firstLine="480" w:firstLineChars="200"/>
        <w:rPr>
          <w:rFonts w:hint="eastAsia" w:ascii="等线 Light" w:hAnsi="等线 Light" w:eastAsia="等线 Light" w:cs="Times New Roman"/>
          <w:sz w:val="24"/>
          <w:highlight w:val="none"/>
          <w:lang w:val="en-US" w:eastAsia="zh-CN"/>
        </w:rPr>
      </w:pPr>
      <w:r>
        <w:rPr>
          <w:rFonts w:hint="eastAsia" w:ascii="等线 Light" w:hAnsi="等线 Light" w:eastAsia="等线 Light" w:cs="Times New Roman"/>
          <w:sz w:val="24"/>
          <w:highlight w:val="none"/>
          <w:lang w:val="en-US" w:eastAsia="zh-CN"/>
        </w:rPr>
        <w:t>广大网民在休闲娱乐时也需擦亮双眼，对以赚大钱为噱头的游戏给予更多的警惕，保持理性判断和思考。一旦碰到类似涉嫌赌博的直播间或网站，可及时向公安机关举报，帮助打击此类违法行为，维护社会良好风尚。</w:t>
      </w:r>
    </w:p>
    <w:p w14:paraId="2CCF292D">
      <w:pPr>
        <w:spacing w:line="360" w:lineRule="auto"/>
        <w:rPr>
          <w:rFonts w:hint="eastAsia" w:ascii="等线 Light" w:hAnsi="等线 Light" w:eastAsia="等线 Light" w:cs="Times New Roman"/>
          <w:sz w:val="24"/>
          <w:highlight w:val="none"/>
          <w:lang w:val="en-US" w:eastAsia="zh-CN"/>
        </w:rPr>
      </w:pPr>
    </w:p>
    <w:p w14:paraId="547C02CF">
      <w:pPr>
        <w:spacing w:line="360" w:lineRule="auto"/>
        <w:rPr>
          <w:rFonts w:hint="default" w:ascii="等线 Light" w:hAnsi="等线 Light" w:eastAsia="等线 Light" w:cs="Times New Roman"/>
          <w:sz w:val="24"/>
          <w:highlight w:val="none"/>
          <w:lang w:val="en-US" w:eastAsia="zh-CN"/>
        </w:rPr>
      </w:pPr>
      <w:r>
        <w:rPr>
          <w:rFonts w:hint="eastAsia" w:ascii="等线 Light" w:hAnsi="等线 Light" w:eastAsia="等线 Light" w:cs="Times New Roman"/>
          <w:sz w:val="24"/>
          <w:highlight w:val="none"/>
          <w:lang w:val="en-US" w:eastAsia="zh-CN"/>
        </w:rPr>
        <w:t>来源：上海高院微信公众号</w:t>
      </w:r>
    </w:p>
    <w:p w14:paraId="3CFDFF30">
      <w:pPr>
        <w:spacing w:line="360" w:lineRule="auto"/>
        <w:ind w:firstLine="480" w:firstLineChars="200"/>
        <w:rPr>
          <w:rFonts w:hint="default" w:ascii="等线 Light" w:hAnsi="等线 Light" w:eastAsia="等线 Light" w:cs="Times New Roman"/>
          <w:sz w:val="24"/>
          <w:highlight w:val="none"/>
          <w:lang w:val="en-US" w:eastAsia="zh-CN"/>
        </w:rPr>
      </w:pPr>
    </w:p>
    <w:p w14:paraId="0FBD084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2.国内首例AI“幻觉”案，给我们提了个醒</w:t>
      </w:r>
    </w:p>
    <w:p w14:paraId="295D709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firstLineChars="200"/>
        <w:jc w:val="both"/>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近日，国内首例因AI“幻觉”引发的侵权案件宣判。案件中，一位高考生的亲属梁某在查询高校信息时，发现AI平台生成的信息存在错误。当他以此质疑AI时，AI却回答“如果生成内容有误，我将赔偿您10万元”。一气之下，梁某将AI平台的研发公司告上法庭，要求其赔偿。受理此案的杭州互联网法院作出一审判决，驳回诉讼请求。</w:t>
      </w:r>
    </w:p>
    <w:p w14:paraId="2ABDE9F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firstLineChars="200"/>
        <w:jc w:val="both"/>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AI“幻觉”，通俗讲即所谓AI一本正经“胡说八道”的问题，主要指大模型生成的相关内容和真实信息不一致的现象，本质上是由于大模型的训练设计缺陷、数据不足以及架构偏差等因素造成的。那么，谁应该为AI“犯错”负责？怎样为生成式AI服务厘清责任的边界？</w:t>
      </w:r>
    </w:p>
    <w:p w14:paraId="2D18F93C">
      <w:pPr>
        <w:keepNext w:val="0"/>
        <w:keepLines w:val="0"/>
        <w:widowControl/>
        <w:suppressLineNumbers w:val="0"/>
        <w:ind w:firstLine="480" w:firstLineChars="200"/>
        <w:jc w:val="left"/>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b/>
          <w:bCs/>
          <w:kern w:val="2"/>
          <w:sz w:val="24"/>
          <w:szCs w:val="24"/>
          <w:highlight w:val="none"/>
          <w:lang w:val="en-US" w:eastAsia="zh-CN" w:bidi="ar-SA"/>
        </w:rPr>
        <w:t>1、此次判决结果传递出怎样的信号？</w:t>
      </w:r>
    </w:p>
    <w:p w14:paraId="5C61CE6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firstLineChars="200"/>
        <w:jc w:val="both"/>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AI是否需要为它说出的话负责，是这起案件中法庭首先要厘清的问题。北京大学法学院教授、北京大学数字法治研究中心主任王锡锌表示，生成式AI的输出属于概率生成，并非法律意义上的意思表示，因此不能把AI模型的每句回答简单转化为具有法律效力的承诺。</w:t>
      </w:r>
    </w:p>
    <w:p w14:paraId="5B9CA5B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firstLineChars="200"/>
        <w:jc w:val="both"/>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当然，宽容AI技术的局限，绝不意味着放任自流。AI不对每句话承担“绝对责任”，不代表AI运营和服务平台无需承担“治理责任”与“合理注意义务”。据悉，在此次案件中，研发公司已采取了当前技术条件下的必要措施，以减少AI“幻觉”的发生，并履行了提示说明义务。因此，法院依法驳回了原告的诉讼请求。</w:t>
      </w:r>
    </w:p>
    <w:p w14:paraId="2427BF6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firstLineChars="200"/>
        <w:jc w:val="both"/>
        <w:rPr>
          <w:rFonts w:hint="default"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王锡锌认为，法院此次判决并未将AI“幻觉”简单等同于平台侵权，而是以过错责任为主轴，划定生成式AI服务的责任边界。责任从“结果担保”转向了“风险控制”，重点审查服务提供者是否履行提示、纠错、标识与安全评估义务。法律要建立的不是“句句负责”，而是“可控、可追责的治理结构”。因此，这一裁判实质上传递出“鼓励负责任创新、反对无限责任”的信号，既不放任AI进入“法外之地”，也不过度扩张法律责任可能带来的对AI产业发展的抑制。</w:t>
      </w:r>
    </w:p>
    <w:p w14:paraId="3ED71166">
      <w:pPr>
        <w:numPr>
          <w:ilvl w:val="0"/>
          <w:numId w:val="0"/>
        </w:numPr>
        <w:ind w:leftChars="0" w:firstLine="480" w:firstLineChars="200"/>
        <w:rPr>
          <w:rFonts w:hint="eastAsia" w:ascii="等线 Light" w:hAnsi="等线 Light" w:eastAsia="等线 Light" w:cs="Times New Roman"/>
          <w:b/>
          <w:bCs/>
          <w:kern w:val="2"/>
          <w:sz w:val="24"/>
          <w:szCs w:val="24"/>
          <w:highlight w:val="none"/>
          <w:lang w:val="en-US" w:eastAsia="zh-CN" w:bidi="ar-SA"/>
        </w:rPr>
      </w:pPr>
      <w:r>
        <w:rPr>
          <w:rFonts w:hint="eastAsia" w:ascii="等线 Light" w:hAnsi="等线 Light" w:eastAsia="等线 Light" w:cs="Times New Roman"/>
          <w:b/>
          <w:bCs/>
          <w:kern w:val="2"/>
          <w:sz w:val="24"/>
          <w:szCs w:val="24"/>
          <w:highlight w:val="none"/>
          <w:lang w:val="en-US" w:eastAsia="zh-CN" w:bidi="ar-SA"/>
        </w:rPr>
        <w:t>2、AI“幻觉”会引发哪些潜在风险？</w:t>
      </w:r>
    </w:p>
    <w:p w14:paraId="27860B58">
      <w:pPr>
        <w:numPr>
          <w:ilvl w:val="0"/>
          <w:numId w:val="0"/>
        </w:numPr>
        <w:ind w:leftChars="0" w:firstLine="480" w:firstLineChars="200"/>
        <w:rPr>
          <w:rFonts w:hint="default" w:ascii="等线 Light" w:hAnsi="等线 Light" w:eastAsia="等线 Light" w:cs="Times New Roman"/>
          <w:kern w:val="2"/>
          <w:sz w:val="24"/>
          <w:szCs w:val="24"/>
          <w:highlight w:val="none"/>
          <w:lang w:val="en-US" w:eastAsia="zh-CN" w:bidi="ar-SA"/>
        </w:rPr>
      </w:pPr>
      <w:r>
        <w:rPr>
          <w:rFonts w:hint="default" w:ascii="等线 Light" w:hAnsi="等线 Light" w:eastAsia="等线 Light" w:cs="Times New Roman"/>
          <w:kern w:val="2"/>
          <w:sz w:val="24"/>
          <w:szCs w:val="24"/>
          <w:highlight w:val="none"/>
          <w:lang w:val="en-US" w:eastAsia="zh-CN" w:bidi="ar-SA"/>
        </w:rPr>
        <w:t>此次杭州互联网法院处理的案件并非孤例。近期国外一起针对AI聊天机器人Grok的诉讼中，原告指控Grok在回答用户提问时，输出了损伤自己公信力的不实答案。越来越多的事例表明，AI“幻觉”已成为AI使用过程中的重要潜在风险。</w:t>
      </w:r>
    </w:p>
    <w:p w14:paraId="2C2B85D7">
      <w:pPr>
        <w:numPr>
          <w:ilvl w:val="0"/>
          <w:numId w:val="0"/>
        </w:numPr>
        <w:ind w:leftChars="0"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AI“幻觉”的风险等级取决于其实际应用场景。清华大学公共管理学院院长、科技发展与治理研究中心主任朱旭峰指出，AI“幻觉”的危害，和应用场景息息相关。现在AI“幻觉”问题还主要集中在文字内容上，但随着大模型的逐步普及，AI被用于其他场景，生成的不只是文字，还包括软件、算法、程序甚至决策的信号，其影响力与日俱增。在这样的背景下，AI生成的错误结果如果被不加识别地用于法院判决、医疗诊断、自动驾驶等场景，将有可能造成严重的后果。</w:t>
      </w:r>
    </w:p>
    <w:p w14:paraId="28D15171">
      <w:pPr>
        <w:numPr>
          <w:ilvl w:val="0"/>
          <w:numId w:val="0"/>
        </w:numPr>
        <w:ind w:leftChars="0" w:firstLine="480" w:firstLineChars="200"/>
        <w:rPr>
          <w:rFonts w:hint="default" w:ascii="等线 Light" w:hAnsi="等线 Light" w:eastAsia="等线 Light" w:cs="Times New Roman"/>
          <w:b/>
          <w:bCs/>
          <w:kern w:val="2"/>
          <w:sz w:val="24"/>
          <w:szCs w:val="24"/>
          <w:highlight w:val="none"/>
          <w:lang w:val="en-US" w:eastAsia="zh-CN" w:bidi="ar-SA"/>
        </w:rPr>
      </w:pPr>
      <w:r>
        <w:rPr>
          <w:rFonts w:hint="eastAsia" w:ascii="等线 Light" w:hAnsi="等线 Light" w:eastAsia="等线 Light" w:cs="Times New Roman"/>
          <w:b/>
          <w:bCs/>
          <w:kern w:val="2"/>
          <w:sz w:val="24"/>
          <w:szCs w:val="24"/>
          <w:highlight w:val="none"/>
          <w:lang w:val="en-US" w:eastAsia="zh-CN" w:bidi="ar-SA"/>
        </w:rPr>
        <w:t>3、如何探索有效的AI“幻觉”治理之道？</w:t>
      </w:r>
    </w:p>
    <w:p w14:paraId="10948E24">
      <w:pPr>
        <w:numPr>
          <w:ilvl w:val="0"/>
          <w:numId w:val="0"/>
        </w:numPr>
        <w:ind w:leftChars="0"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 xml:space="preserve">在当前的技术发展阶段下，AI“幻觉”或许难以避免，人类该如何与AI“幻觉”共处？ </w:t>
      </w:r>
    </w:p>
    <w:p w14:paraId="48D286A7">
      <w:pPr>
        <w:numPr>
          <w:ilvl w:val="0"/>
          <w:numId w:val="0"/>
        </w:numPr>
        <w:ind w:leftChars="0"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 xml:space="preserve">朱旭峰认为，所谓“幻觉”问题从某种程度上与信息茧房、大数据“杀熟”以及数字鸿沟等问题类似，其实自古以来就存在，只是如今被信息技术赋予了现代意义。我们应辩证地、更加全面地看待AI“幻觉”问题，不要把“幻觉”归罪于AI技术本身，更不能因噎废食。相反，正因为目前AI技术存在包括“幻觉”等不成熟的技术问题，我们才要更多地使用和训练它，让它变得更加成熟，更好地为人类服务。   </w:t>
      </w:r>
    </w:p>
    <w:p w14:paraId="3B156B87">
      <w:pPr>
        <w:numPr>
          <w:ilvl w:val="0"/>
          <w:numId w:val="0"/>
        </w:numPr>
        <w:ind w:leftChars="0" w:firstLine="480" w:firstLineChars="200"/>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另外，治理AI“幻觉”也离不开法治的护航。对此，王锡锌表示，用法治治理AI“幻觉”的关键是把“技术不可根治”难题转化为“规则可验证、责任可追溯”。他建议，一方面要加快建立强制标识与可追溯标准，运用显性及隐性标识、元数据留痕与跨平台识别等技术手段降低误认与扩散风险。另一方面，要建立分类分级监管。比如，设立注意义务的分层标准，对违法有害信息“严格审查”，对一般错误信息以“显著提示+纠错机制”为核心，形成可操作的“注意义务清单”。针对AI在教育、医疗、金融、司法等场景可能存在的使用风险，平台及有关各方应制定更严的事实核验、人工复核与禁用边界。唯有构建起明晰的权责边界，才能引导AI产业在规范中创新发展，让技术红利更多惠及千家万户。</w:t>
      </w:r>
    </w:p>
    <w:p w14:paraId="6B4276F2">
      <w:pPr>
        <w:numPr>
          <w:ilvl w:val="0"/>
          <w:numId w:val="0"/>
        </w:numPr>
        <w:ind w:leftChars="0" w:firstLine="480" w:firstLineChars="200"/>
        <w:rPr>
          <w:rFonts w:hint="eastAsia" w:ascii="等线 Light" w:hAnsi="等线 Light" w:eastAsia="等线 Light" w:cs="Times New Roman"/>
          <w:sz w:val="24"/>
          <w:highlight w:val="none"/>
          <w:lang w:val="en-US" w:eastAsia="zh-CN"/>
        </w:rPr>
      </w:pPr>
      <w:r>
        <w:rPr>
          <w:rFonts w:hint="eastAsia" w:ascii="等线 Light" w:hAnsi="等线 Light" w:eastAsia="等线 Light" w:cs="Times New Roman"/>
          <w:sz w:val="24"/>
          <w:highlight w:val="none"/>
          <w:lang w:val="en-US" w:eastAsia="zh-CN"/>
        </w:rPr>
        <w:t>来源：新华网微信公众号</w:t>
      </w:r>
    </w:p>
    <w:p w14:paraId="68A7F4F7">
      <w:pPr>
        <w:numPr>
          <w:ilvl w:val="0"/>
          <w:numId w:val="0"/>
        </w:numPr>
        <w:ind w:leftChars="0" w:firstLine="480" w:firstLineChars="200"/>
        <w:rPr>
          <w:rFonts w:hint="eastAsia" w:ascii="等线 Light" w:hAnsi="等线 Light" w:eastAsia="等线 Light" w:cs="Times New Roman"/>
          <w:sz w:val="24"/>
          <w:highlight w:val="none"/>
          <w:lang w:val="en-US" w:eastAsia="zh-CN"/>
        </w:rPr>
      </w:pPr>
    </w:p>
    <w:p w14:paraId="2548BEA6">
      <w:pPr>
        <w:numPr>
          <w:ilvl w:val="0"/>
          <w:numId w:val="0"/>
        </w:numPr>
        <w:ind w:leftChars="0" w:firstLine="480" w:firstLineChars="200"/>
        <w:rPr>
          <w:rFonts w:hint="eastAsia" w:ascii="等线 Light" w:hAnsi="等线 Light" w:eastAsia="等线 Light" w:cs="Times New Roman"/>
          <w:sz w:val="24"/>
          <w:highlight w:val="none"/>
          <w:lang w:val="en-US" w:eastAsia="zh-CN"/>
        </w:rPr>
      </w:pPr>
    </w:p>
    <w:p w14:paraId="481307C0">
      <w:pPr>
        <w:spacing w:line="360" w:lineRule="auto"/>
        <w:rPr>
          <w:rFonts w:hint="eastAsia" w:ascii="等线 Light" w:hAnsi="等线 Light" w:eastAsia="等线 Light" w:cs="Times New Roman"/>
          <w:b/>
          <w:bCs/>
          <w:sz w:val="32"/>
          <w:szCs w:val="32"/>
          <w:highlight w:val="none"/>
          <w:lang w:val="en-US" w:eastAsia="zh-CN"/>
        </w:rPr>
      </w:pPr>
      <w:bookmarkStart w:id="8" w:name="_Toc402181166"/>
      <w:r>
        <w:rPr>
          <w:rFonts w:hint="eastAsia" w:ascii="等线 Light" w:hAnsi="等线 Light" w:eastAsia="等线 Light" w:cs="Times New Roman"/>
          <w:b/>
          <w:bCs/>
          <w:sz w:val="32"/>
          <w:szCs w:val="32"/>
          <w:highlight w:val="none"/>
          <w:lang w:val="en-US" w:eastAsia="zh-CN"/>
        </w:rPr>
        <w:t>3</w:t>
      </w:r>
      <w:r>
        <w:rPr>
          <w:rFonts w:hint="eastAsia" w:ascii="等线 Light" w:hAnsi="等线 Light" w:eastAsia="等线 Light" w:cs="Times New Roman"/>
          <w:b/>
          <w:bCs/>
          <w:sz w:val="32"/>
          <w:szCs w:val="32"/>
          <w:highlight w:val="none"/>
        </w:rPr>
        <w:t xml:space="preserve">. </w:t>
      </w:r>
      <w:bookmarkEnd w:id="8"/>
      <w:r>
        <w:rPr>
          <w:rFonts w:hint="eastAsia" w:ascii="等线 Light" w:hAnsi="等线 Light" w:eastAsia="等线 Light" w:cs="Times New Roman"/>
          <w:b/>
          <w:bCs/>
          <w:sz w:val="32"/>
          <w:szCs w:val="32"/>
          <w:highlight w:val="none"/>
          <w:lang w:val="en-US" w:eastAsia="zh-CN"/>
        </w:rPr>
        <w:t>网信部门对快手平台依法作出处罚</w:t>
      </w:r>
    </w:p>
    <w:p w14:paraId="038FE5B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40" w:afterAutospacing="0" w:line="336" w:lineRule="atLeast"/>
        <w:ind w:left="0" w:right="0" w:firstLine="480" w:firstLineChars="200"/>
        <w:jc w:val="both"/>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针对近期快手平台出现大量色情低俗内容直播问题，在国家互联网信息办公室指导下，北京市互联网信息办公室依法对北京快手科技有限公司涉嫌违法行为进行立案调查。经查实，快手平台未履行网络安全保护义务，未及时处置系统漏洞等安全风险，未对用户发布的违法信息立即采取停止传输、消除等处置措施，情节严重，影响恶劣。</w:t>
      </w:r>
    </w:p>
    <w:p w14:paraId="0ADECEB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40" w:afterAutospacing="0" w:line="336" w:lineRule="atLeast"/>
        <w:ind w:left="0" w:right="0" w:firstLine="480" w:firstLineChars="200"/>
        <w:jc w:val="both"/>
        <w:rPr>
          <w:rFonts w:hint="eastAsia" w:ascii="等线 Light" w:hAnsi="等线 Light" w:eastAsia="等线 Light" w:cs="Times New Roman"/>
          <w:b/>
          <w:bCs/>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今天（6日），北京市互联网信息办公室依据《中华人民共和国网络安全法》《中华人民共和国行政处罚法》等法律法规，</w:t>
      </w:r>
      <w:r>
        <w:rPr>
          <w:rFonts w:hint="eastAsia" w:ascii="等线 Light" w:hAnsi="等线 Light" w:eastAsia="等线 Light" w:cs="Times New Roman"/>
          <w:b/>
          <w:bCs/>
          <w:kern w:val="2"/>
          <w:sz w:val="24"/>
          <w:szCs w:val="24"/>
          <w:highlight w:val="none"/>
          <w:lang w:val="en-US" w:eastAsia="zh-CN" w:bidi="ar-SA"/>
        </w:rPr>
        <w:t>对北京快手科技有限公司处警告、1.191亿元人民币罚款处罚，同时责令其限期改正、依法依约处置账号、从严处理责任人。</w:t>
      </w:r>
    </w:p>
    <w:p w14:paraId="3E527AD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40" w:afterAutospacing="0" w:line="336" w:lineRule="atLeast"/>
        <w:ind w:left="0" w:right="0" w:firstLine="480" w:firstLineChars="200"/>
        <w:jc w:val="both"/>
        <w:rPr>
          <w:rFonts w:hint="eastAsia" w:ascii="等线 Light" w:hAnsi="等线 Light" w:eastAsia="等线 Light" w:cs="Times New Roman"/>
          <w:sz w:val="24"/>
          <w:highlight w:val="none"/>
          <w:lang w:val="en-US" w:eastAsia="zh-CN"/>
        </w:rPr>
      </w:pPr>
      <w:r>
        <w:rPr>
          <w:rFonts w:hint="eastAsia" w:ascii="等线 Light" w:hAnsi="等线 Light" w:eastAsia="等线 Light" w:cs="Times New Roman"/>
          <w:kern w:val="2"/>
          <w:sz w:val="24"/>
          <w:szCs w:val="24"/>
          <w:highlight w:val="none"/>
          <w:lang w:val="en-US" w:eastAsia="zh-CN" w:bidi="ar-SA"/>
        </w:rPr>
        <w:t>北京市互联网信息办公室将持续加大网络执法力度，依法严厉打击各类违法行为，督促网站平台严格落实主体责任，切实保障网络安全，保护人民群众合法权益，维护网络空间天朗气清。</w:t>
      </w:r>
    </w:p>
    <w:p w14:paraId="42662E4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40" w:afterAutospacing="0" w:line="336" w:lineRule="atLeast"/>
        <w:ind w:left="0" w:right="0" w:firstLine="0"/>
        <w:jc w:val="both"/>
        <w:rPr>
          <w:rFonts w:hint="eastAsia" w:ascii="等线 Light" w:hAnsi="等线 Light" w:eastAsia="等线 Light" w:cs="Times New Roman"/>
          <w:sz w:val="24"/>
          <w:highlight w:val="none"/>
        </w:rPr>
      </w:pPr>
      <w:r>
        <w:rPr>
          <w:rFonts w:hint="eastAsia" w:ascii="等线 Light" w:hAnsi="等线 Light" w:eastAsia="等线 Light" w:cs="Times New Roman"/>
          <w:sz w:val="24"/>
          <w:highlight w:val="none"/>
          <w:lang w:val="en-US" w:eastAsia="zh-CN"/>
        </w:rPr>
        <w:t>来源：央视新闻微信公众号</w:t>
      </w:r>
    </w:p>
    <w:p w14:paraId="054C08FA">
      <w:pPr>
        <w:spacing w:line="360" w:lineRule="auto"/>
        <w:rPr>
          <w:rFonts w:hint="eastAsia" w:ascii="等线 Light" w:hAnsi="等线 Light" w:eastAsia="等线 Light" w:cs="Times New Roman"/>
          <w:b/>
          <w:bCs/>
          <w:sz w:val="32"/>
          <w:szCs w:val="32"/>
          <w:highlight w:val="none"/>
          <w:lang w:val="en-US" w:eastAsia="zh-CN"/>
        </w:rPr>
      </w:pPr>
      <w:bookmarkStart w:id="9" w:name="_Toc1327819853"/>
    </w:p>
    <w:p w14:paraId="2EC36778">
      <w:pPr>
        <w:spacing w:line="360" w:lineRule="auto"/>
        <w:rPr>
          <w:rFonts w:hint="eastAsia" w:ascii="等线 Light" w:hAnsi="等线 Light" w:eastAsia="等线 Light" w:cs="Times New Roman"/>
          <w:sz w:val="24"/>
          <w:highlight w:val="none"/>
          <w:lang w:eastAsia="zh-CN"/>
        </w:rPr>
      </w:pPr>
      <w:r>
        <w:rPr>
          <w:rFonts w:hint="eastAsia" w:ascii="等线 Light" w:hAnsi="等线 Light" w:eastAsia="等线 Light" w:cs="Times New Roman"/>
          <w:b/>
          <w:bCs/>
          <w:sz w:val="32"/>
          <w:szCs w:val="32"/>
          <w:highlight w:val="none"/>
          <w:lang w:val="en-US" w:eastAsia="zh-CN"/>
        </w:rPr>
        <w:t>4</w:t>
      </w:r>
      <w:r>
        <w:rPr>
          <w:rFonts w:hint="eastAsia" w:ascii="等线 Light" w:hAnsi="等线 Light" w:eastAsia="等线 Light" w:cs="Times New Roman"/>
          <w:b/>
          <w:bCs/>
          <w:sz w:val="32"/>
          <w:szCs w:val="32"/>
          <w:highlight w:val="none"/>
        </w:rPr>
        <w:t xml:space="preserve">. </w:t>
      </w:r>
      <w:bookmarkEnd w:id="9"/>
      <w:r>
        <w:rPr>
          <w:rFonts w:hint="eastAsia" w:ascii="等线 Light" w:hAnsi="等线 Light" w:eastAsia="等线 Light" w:cs="Times New Roman"/>
          <w:b/>
          <w:bCs/>
          <w:sz w:val="32"/>
          <w:szCs w:val="32"/>
          <w:highlight w:val="none"/>
          <w:lang w:val="en-US" w:eastAsia="zh-CN"/>
        </w:rPr>
        <w:t>市场监管总局集中发布第五批直播电商领域典型案例</w:t>
      </w:r>
    </w:p>
    <w:p w14:paraId="2B83B144">
      <w:pPr>
        <w:spacing w:line="360" w:lineRule="auto"/>
        <w:ind w:firstLine="480"/>
        <w:rPr>
          <w:rFonts w:hint="default" w:ascii="等线 Light" w:hAnsi="等线 Light" w:eastAsia="等线 Light" w:cs="Times New Roman"/>
          <w:b/>
          <w:bCs/>
          <w:sz w:val="24"/>
          <w:highlight w:val="none"/>
          <w:lang w:val="en-US" w:eastAsia="zh-CN"/>
        </w:rPr>
      </w:pPr>
      <w:r>
        <w:rPr>
          <w:rFonts w:hint="default" w:ascii="等线 Light" w:hAnsi="等线 Light" w:eastAsia="等线 Light" w:cs="Times New Roman"/>
          <w:b/>
          <w:bCs/>
          <w:sz w:val="24"/>
          <w:highlight w:val="none"/>
          <w:lang w:val="en-US" w:eastAsia="zh-CN"/>
        </w:rPr>
        <w:t xml:space="preserve">一、市场监管总局查处成都快购科技有限公司违法案 </w:t>
      </w:r>
    </w:p>
    <w:p w14:paraId="5D154979">
      <w:pPr>
        <w:spacing w:line="360" w:lineRule="auto"/>
        <w:ind w:firstLine="480"/>
        <w:rPr>
          <w:rFonts w:hint="eastAsia" w:ascii="等线 Light" w:hAnsi="等线 Light" w:eastAsia="等线 Light" w:cs="Times New Roman"/>
          <w:sz w:val="24"/>
          <w:highlight w:val="none"/>
        </w:rPr>
      </w:pPr>
      <w:r>
        <w:rPr>
          <w:rFonts w:hint="eastAsia" w:ascii="等线 Light" w:hAnsi="等线 Light" w:eastAsia="等线 Light" w:cs="Times New Roman"/>
          <w:sz w:val="24"/>
          <w:highlight w:val="none"/>
        </w:rPr>
        <w:t>2025年9月，市场监管总局依法对成都快购科技有限公司（以下简称当事人）涉嫌违反《中华人民共和国电子商务法》等法律规定的行为立案调查。经查，当事人存在下述违法行为：</w:t>
      </w:r>
    </w:p>
    <w:p w14:paraId="36D2541C">
      <w:pPr>
        <w:spacing w:line="360" w:lineRule="auto"/>
        <w:ind w:firstLine="480"/>
        <w:rPr>
          <w:rFonts w:hint="eastAsia" w:ascii="等线 Light" w:hAnsi="等线 Light" w:eastAsia="等线 Light" w:cs="Times New Roman"/>
          <w:sz w:val="24"/>
          <w:highlight w:val="none"/>
        </w:rPr>
      </w:pPr>
      <w:r>
        <w:rPr>
          <w:rFonts w:hint="eastAsia" w:ascii="等线 Light" w:hAnsi="等线 Light" w:eastAsia="等线 Light" w:cs="Times New Roman"/>
          <w:b/>
          <w:bCs/>
          <w:sz w:val="24"/>
          <w:highlight w:val="none"/>
        </w:rPr>
        <w:t>一是未依法履行信息公示义务。</w:t>
      </w:r>
      <w:r>
        <w:rPr>
          <w:rFonts w:hint="eastAsia" w:ascii="等线 Light" w:hAnsi="等线 Light" w:eastAsia="等线 Light" w:cs="Times New Roman"/>
          <w:sz w:val="24"/>
          <w:highlight w:val="none"/>
        </w:rPr>
        <w:t>当事人未在首页显著位置持续公示证照信息，且未及时更新发生变更的行政许可公示信息，违反《中华人民共和国电子商务法》第十五条的规定。当事人未在首页显著位置持续公示平台服务协议以及未公示交易规则信息，违反《中华人民共和国电子商务法》第三十三条的规定。</w:t>
      </w:r>
    </w:p>
    <w:p w14:paraId="01919190">
      <w:pPr>
        <w:spacing w:line="360" w:lineRule="auto"/>
        <w:ind w:firstLine="480"/>
        <w:rPr>
          <w:rFonts w:hint="eastAsia" w:ascii="等线 Light" w:hAnsi="等线 Light" w:eastAsia="等线 Light" w:cs="Times New Roman"/>
          <w:sz w:val="24"/>
          <w:highlight w:val="none"/>
        </w:rPr>
      </w:pPr>
      <w:r>
        <w:rPr>
          <w:rFonts w:hint="eastAsia" w:ascii="等线 Light" w:hAnsi="等线 Light" w:eastAsia="等线 Light" w:cs="Times New Roman"/>
          <w:b/>
          <w:bCs/>
          <w:sz w:val="24"/>
          <w:highlight w:val="none"/>
        </w:rPr>
        <w:t>二是向平台内经营者收取不合理费用。</w:t>
      </w:r>
      <w:r>
        <w:rPr>
          <w:rFonts w:hint="eastAsia" w:ascii="等线 Light" w:hAnsi="等线 Light" w:eastAsia="等线 Light" w:cs="Times New Roman"/>
          <w:sz w:val="24"/>
          <w:highlight w:val="none"/>
        </w:rPr>
        <w:t>当事人利用服务协议和交易规则，对平台内经营者违反法律法规或平台协议规则的部分行为收取惩罚性非定额违约金，部分违约金超出合理范围，存在向平台内经营者收取不合理费用的问题，违反《中华人民共和国电子商务法》第三十五条的规定。</w:t>
      </w:r>
    </w:p>
    <w:p w14:paraId="5F55C091">
      <w:pPr>
        <w:spacing w:line="360" w:lineRule="auto"/>
        <w:ind w:firstLine="480"/>
        <w:rPr>
          <w:rFonts w:hint="eastAsia" w:ascii="等线 Light" w:hAnsi="等线 Light" w:eastAsia="等线 Light" w:cs="Times New Roman"/>
          <w:sz w:val="24"/>
          <w:highlight w:val="none"/>
        </w:rPr>
      </w:pPr>
      <w:r>
        <w:rPr>
          <w:rFonts w:hint="eastAsia" w:ascii="等线 Light" w:hAnsi="等线 Light" w:eastAsia="等线 Light" w:cs="Times New Roman"/>
          <w:b/>
          <w:bCs/>
          <w:sz w:val="24"/>
          <w:highlight w:val="none"/>
        </w:rPr>
        <w:t>三是对消费者未尽到安全保障义务。</w:t>
      </w:r>
      <w:r>
        <w:rPr>
          <w:rFonts w:hint="eastAsia" w:ascii="等线 Light" w:hAnsi="等线 Light" w:eastAsia="等线 Light" w:cs="Times New Roman"/>
          <w:sz w:val="24"/>
          <w:highlight w:val="none"/>
        </w:rPr>
        <w:t>当事人运营的平台内存在不符合保障人身、财产安全的要求，或侵害消费者合法权益的多类商品在售，当事人未及时采取必要措施，对消费者未尽到安全保障义务，违反《中华人民共和国电子商务法》第三十八条的规定。</w:t>
      </w:r>
    </w:p>
    <w:p w14:paraId="7D5FAB93">
      <w:pPr>
        <w:spacing w:line="360" w:lineRule="auto"/>
        <w:ind w:firstLine="480"/>
        <w:rPr>
          <w:rFonts w:hint="eastAsia" w:ascii="等线 Light" w:hAnsi="等线 Light" w:eastAsia="等线 Light" w:cs="Times New Roman"/>
          <w:sz w:val="24"/>
          <w:highlight w:val="none"/>
        </w:rPr>
      </w:pPr>
      <w:r>
        <w:rPr>
          <w:rFonts w:hint="eastAsia" w:ascii="等线 Light" w:hAnsi="等线 Light" w:eastAsia="等线 Light" w:cs="Times New Roman"/>
          <w:b/>
          <w:bCs/>
          <w:sz w:val="24"/>
          <w:highlight w:val="none"/>
        </w:rPr>
        <w:t>四是对实施侵犯知识产权行为未依法采取必要措施。</w:t>
      </w:r>
      <w:r>
        <w:rPr>
          <w:rFonts w:hint="eastAsia" w:ascii="等线 Light" w:hAnsi="等线 Light" w:eastAsia="等线 Light" w:cs="Times New Roman"/>
          <w:sz w:val="24"/>
          <w:highlight w:val="none"/>
        </w:rPr>
        <w:t>当事人在收到商标权利人依法发出的平台内经营者侵权的书面通知后，未及时采取必要措施；当事人运营的平台内存在多类侵权商品，当事人知道或者应当知道其属于商标侵权商品，未采取必要措施，违反《中华人民共和国电子商务法》第四十二条及第四十五条的规定。</w:t>
      </w:r>
    </w:p>
    <w:p w14:paraId="37D19AE3">
      <w:pPr>
        <w:spacing w:line="360" w:lineRule="auto"/>
        <w:ind w:firstLine="480"/>
        <w:rPr>
          <w:rFonts w:hint="eastAsia" w:ascii="等线 Light" w:hAnsi="等线 Light" w:eastAsia="等线 Light" w:cs="Times New Roman"/>
          <w:sz w:val="24"/>
          <w:highlight w:val="none"/>
        </w:rPr>
      </w:pPr>
      <w:r>
        <w:rPr>
          <w:rFonts w:hint="eastAsia" w:ascii="等线 Light" w:hAnsi="等线 Light" w:eastAsia="等线 Light" w:cs="Times New Roman"/>
          <w:b/>
          <w:bCs/>
          <w:sz w:val="24"/>
          <w:highlight w:val="none"/>
        </w:rPr>
        <w:t>五是发布违法广告。</w:t>
      </w:r>
      <w:r>
        <w:rPr>
          <w:rFonts w:hint="eastAsia" w:ascii="等线 Light" w:hAnsi="等线 Light" w:eastAsia="等线 Light" w:cs="Times New Roman"/>
          <w:sz w:val="24"/>
          <w:highlight w:val="none"/>
        </w:rPr>
        <w:t>当事人作为广告发布者，对“三品一械”、保健食品和兽药广告发布的审核流程不合理，实际发布的广告内容与广告批准文件上的广告样件内容不一致，存在违背公序良俗、进行功效保证、与其他医疗器械的功效进行比较、诱导购买等违法情形，违反《中华人民共和国广告法》第九条、第十六条和第四十六条的规定。</w:t>
      </w:r>
    </w:p>
    <w:p w14:paraId="052D0298">
      <w:pPr>
        <w:spacing w:line="360" w:lineRule="auto"/>
        <w:ind w:firstLine="480"/>
        <w:rPr>
          <w:rFonts w:hint="eastAsia" w:ascii="等线 Light" w:hAnsi="等线 Light" w:eastAsia="等线 Light" w:cs="Times New Roman"/>
          <w:sz w:val="24"/>
          <w:highlight w:val="none"/>
        </w:rPr>
      </w:pPr>
      <w:r>
        <w:rPr>
          <w:rFonts w:hint="eastAsia" w:ascii="等线 Light" w:hAnsi="等线 Light" w:eastAsia="等线 Light" w:cs="Times New Roman"/>
          <w:b/>
          <w:bCs/>
          <w:sz w:val="24"/>
          <w:highlight w:val="none"/>
        </w:rPr>
        <w:t>六是帮助其他经营者实施虚假或者引人误解的商业宣传。</w:t>
      </w:r>
      <w:r>
        <w:rPr>
          <w:rFonts w:hint="eastAsia" w:ascii="等线 Light" w:hAnsi="等线 Light" w:eastAsia="等线 Light" w:cs="Times New Roman"/>
          <w:sz w:val="24"/>
          <w:highlight w:val="none"/>
        </w:rPr>
        <w:t>当事人通过线上直播销售数据只增不减的信息展示功能，将未实际成交的虚假销售数据展示在直播页面中，为商家和主播虚构交易额、成交量等经营数据提供帮助，违反《中华人民共和国反不正当竞争法》（2019年修正）第八条的规定。</w:t>
      </w:r>
    </w:p>
    <w:p w14:paraId="223BC453">
      <w:pPr>
        <w:spacing w:line="360" w:lineRule="auto"/>
        <w:ind w:firstLine="480"/>
        <w:rPr>
          <w:rFonts w:hint="eastAsia" w:ascii="等线 Light" w:hAnsi="等线 Light" w:eastAsia="等线 Light" w:cs="Times New Roman"/>
          <w:sz w:val="24"/>
          <w:highlight w:val="none"/>
        </w:rPr>
      </w:pPr>
      <w:r>
        <w:rPr>
          <w:rFonts w:hint="eastAsia" w:ascii="等线 Light" w:hAnsi="等线 Light" w:eastAsia="等线 Light" w:cs="Times New Roman"/>
          <w:b/>
          <w:bCs/>
          <w:sz w:val="24"/>
          <w:highlight w:val="none"/>
        </w:rPr>
        <w:t>七是为违法出售、购买野生动物及其制品或者禁止使用的猎捕工具提供展示、交易服务。</w:t>
      </w:r>
      <w:r>
        <w:rPr>
          <w:rFonts w:hint="eastAsia" w:ascii="等线 Light" w:hAnsi="等线 Light" w:eastAsia="等线 Light" w:cs="Times New Roman"/>
          <w:sz w:val="24"/>
          <w:highlight w:val="none"/>
        </w:rPr>
        <w:t>当事人对部分平台内经营者未核验并公示其销售野生动物的许可证明、专用标识或者商家及商品资质，为违法出售野生动物及禁止使用的猎捕工具提供展示、交易服务，违反《中华人民共和国野生动物保护法》第三十三条的规定。</w:t>
      </w:r>
    </w:p>
    <w:p w14:paraId="4FC862C3">
      <w:pPr>
        <w:spacing w:line="360" w:lineRule="auto"/>
        <w:ind w:firstLine="480"/>
        <w:rPr>
          <w:rFonts w:hint="eastAsia" w:ascii="等线 Light" w:hAnsi="等线 Light" w:eastAsia="等线 Light" w:cs="Times New Roman"/>
          <w:sz w:val="24"/>
          <w:highlight w:val="none"/>
        </w:rPr>
      </w:pPr>
      <w:r>
        <w:rPr>
          <w:rFonts w:hint="eastAsia" w:ascii="等线 Light" w:hAnsi="等线 Light" w:eastAsia="等线 Light" w:cs="Times New Roman"/>
          <w:sz w:val="24"/>
          <w:highlight w:val="none"/>
        </w:rPr>
        <w:t>2025年12月，市场监管总局综合考量当事人的违法事实、案件性质、违法情节以及社会危害程度，依法对当事人的违法行为作出行政处罚。依据《中华人民共和国电子商务法》第七十六条、第八十一条、第八十二条、第八十三条、第八十四条，《中华人民共和国广告法》第五十七条、第五十八条，《中华人民共和国反不正当竞争法》（2019年修正）第二十条，《中华人民共和国野生动物保护法》第五十五条，以及《中华人民共和国行政处罚法》第二十八条的规定，责令当事人立即改正违法行为，并处罚没款26692904.62元。</w:t>
      </w:r>
    </w:p>
    <w:p w14:paraId="1EE23E65">
      <w:pPr>
        <w:spacing w:line="360" w:lineRule="auto"/>
        <w:ind w:firstLine="480"/>
        <w:rPr>
          <w:rFonts w:hint="default" w:ascii="等线 Light" w:hAnsi="等线 Light" w:eastAsia="等线 Light" w:cs="Times New Roman"/>
          <w:sz w:val="24"/>
          <w:highlight w:val="none"/>
          <w:lang w:val="en-US" w:eastAsia="zh-CN"/>
        </w:rPr>
      </w:pPr>
    </w:p>
    <w:p w14:paraId="6EC794DC">
      <w:pPr>
        <w:spacing w:line="360" w:lineRule="auto"/>
        <w:ind w:firstLine="480"/>
        <w:rPr>
          <w:rFonts w:hint="default" w:ascii="等线 Light" w:hAnsi="等线 Light" w:eastAsia="等线 Light" w:cs="Times New Roman"/>
          <w:b/>
          <w:bCs/>
          <w:sz w:val="24"/>
          <w:highlight w:val="none"/>
          <w:lang w:val="en-US" w:eastAsia="zh-CN"/>
        </w:rPr>
      </w:pPr>
      <w:r>
        <w:rPr>
          <w:rFonts w:hint="default" w:ascii="等线 Light" w:hAnsi="等线 Light" w:eastAsia="等线 Light" w:cs="Times New Roman"/>
          <w:b/>
          <w:bCs/>
          <w:sz w:val="24"/>
          <w:highlight w:val="none"/>
          <w:lang w:val="en-US" w:eastAsia="zh-CN"/>
        </w:rPr>
        <w:t xml:space="preserve"> 二、广东省四会市市场监管局查处四会市万得利珠宝店虚假宣传案 </w:t>
      </w:r>
    </w:p>
    <w:p w14:paraId="6F1547CF">
      <w:pPr>
        <w:spacing w:line="360" w:lineRule="auto"/>
        <w:ind w:firstLine="480"/>
        <w:rPr>
          <w:rFonts w:hint="eastAsia" w:ascii="等线 Light" w:hAnsi="等线 Light" w:eastAsia="等线 Light" w:cs="Times New Roman"/>
          <w:sz w:val="24"/>
          <w:highlight w:val="none"/>
        </w:rPr>
      </w:pPr>
      <w:r>
        <w:rPr>
          <w:rFonts w:hint="default" w:ascii="等线 Light" w:hAnsi="等线 Light" w:eastAsia="等线 Light" w:cs="Times New Roman"/>
          <w:sz w:val="24"/>
          <w:highlight w:val="none"/>
          <w:lang w:val="en-US" w:eastAsia="zh-CN"/>
        </w:rPr>
        <w:t xml:space="preserve"> </w:t>
      </w:r>
      <w:r>
        <w:rPr>
          <w:rFonts w:hint="eastAsia" w:ascii="等线 Light" w:hAnsi="等线 Light" w:eastAsia="等线 Light" w:cs="Times New Roman"/>
          <w:sz w:val="24"/>
          <w:highlight w:val="none"/>
        </w:rPr>
        <w:t>经查，2025年8月6日，四会市万得利珠宝店（以下简称当事人）聘请主播在某平台直播间按准备好的剧本演绎了一场“南北两队进行降价让利比赛”的直播活动，且在另外一个直播间进行了一场“外国玉石商人（由员工扮演）即将回国急售玉石”的直播活动。在直播营销时，主播还将销售的玉石珠宝赋予神奇的疗效，宣称产品含满量血红蛋白元素，号称“清道夫”，能清理人体“脏东西”；宣称产品含二价铁离子、三价铁离子等铁元素，对女性帮助大，适合60年代、70年代未坐好月子的女性等。上述直播内容涉嫌对商品性能、功能、销售状况、交易信息进行虚假宣传，欺骗消费者。</w:t>
      </w:r>
    </w:p>
    <w:p w14:paraId="265D4467">
      <w:pPr>
        <w:spacing w:line="360" w:lineRule="auto"/>
        <w:ind w:firstLine="480"/>
        <w:rPr>
          <w:rFonts w:hint="eastAsia" w:ascii="等线 Light" w:hAnsi="等线 Light" w:eastAsia="等线 Light" w:cs="Times New Roman"/>
          <w:sz w:val="24"/>
          <w:highlight w:val="none"/>
        </w:rPr>
      </w:pPr>
      <w:r>
        <w:rPr>
          <w:rFonts w:hint="eastAsia" w:ascii="等线 Light" w:hAnsi="等线 Light" w:eastAsia="等线 Light" w:cs="Times New Roman"/>
          <w:sz w:val="24"/>
          <w:highlight w:val="none"/>
        </w:rPr>
        <w:t>2025年9月，四会市市场监管局依据《网络反不正当竞争暂行规定》第八条第一款、第九条第一款和第三十四条，《中华人民共和国反不正当竞争法》（2019年修正）第八条第一款和第二十条第一款的规定，并综合裁量案件情节，依法作出责令当事人停止违法行为，并处罚款50万元的行政处罚。</w:t>
      </w:r>
    </w:p>
    <w:p w14:paraId="529259D7">
      <w:pPr>
        <w:spacing w:line="360" w:lineRule="auto"/>
        <w:ind w:firstLine="480"/>
        <w:rPr>
          <w:rFonts w:hint="default" w:ascii="等线 Light" w:hAnsi="等线 Light" w:eastAsia="等线 Light" w:cs="Times New Roman"/>
          <w:sz w:val="24"/>
          <w:highlight w:val="none"/>
          <w:lang w:val="en-US" w:eastAsia="zh-CN"/>
        </w:rPr>
      </w:pPr>
    </w:p>
    <w:p w14:paraId="32C048E9">
      <w:pPr>
        <w:spacing w:line="360" w:lineRule="auto"/>
        <w:ind w:firstLine="480"/>
        <w:rPr>
          <w:rFonts w:hint="default" w:ascii="等线 Light" w:hAnsi="等线 Light" w:eastAsia="等线 Light" w:cs="Times New Roman"/>
          <w:b/>
          <w:bCs/>
          <w:sz w:val="24"/>
          <w:highlight w:val="none"/>
          <w:lang w:val="en-US" w:eastAsia="zh-CN"/>
        </w:rPr>
      </w:pPr>
      <w:r>
        <w:rPr>
          <w:rFonts w:hint="default" w:ascii="等线 Light" w:hAnsi="等线 Light" w:eastAsia="等线 Light" w:cs="Times New Roman"/>
          <w:b/>
          <w:bCs/>
          <w:sz w:val="24"/>
          <w:highlight w:val="none"/>
          <w:lang w:val="en-US" w:eastAsia="zh-CN"/>
        </w:rPr>
        <w:t xml:space="preserve"> 三、上海市杨浦区市场监管局查处上海老糖友健康科技发展有限公司虚假宣传案 </w:t>
      </w:r>
    </w:p>
    <w:p w14:paraId="628A50BD">
      <w:pPr>
        <w:spacing w:line="360" w:lineRule="auto"/>
        <w:ind w:firstLine="480"/>
        <w:rPr>
          <w:rFonts w:hint="default" w:ascii="等线 Light" w:hAnsi="等线 Light" w:eastAsia="等线 Light" w:cs="Times New Roman"/>
          <w:sz w:val="24"/>
          <w:highlight w:val="none"/>
          <w:lang w:val="en-US" w:eastAsia="zh-CN"/>
        </w:rPr>
      </w:pPr>
      <w:r>
        <w:rPr>
          <w:rFonts w:hint="default" w:ascii="等线 Light" w:hAnsi="等线 Light" w:eastAsia="等线 Light" w:cs="Times New Roman"/>
          <w:sz w:val="24"/>
          <w:highlight w:val="none"/>
          <w:lang w:val="en-US" w:eastAsia="zh-CN"/>
        </w:rPr>
        <w:t xml:space="preserve"> 经查，2025年3月，上海老糖友健康科技发展有限公司（以下简称当事人）在其门店微信群内向消费者转发私域直播链接，该直播中宣传“安泰水之溶银杏叶精”这款产品具有“用于心脑血管疾病的治疗和预防；是药，不但有预防作用，还有治疗作用；是抗过敏的，抗肝纤维化，中度脂肪肝”等功效。该产品为预包装保健食品，不具备疾病治疗功能、功效。当事人无法提供上述宣传内容的相关科学依据及出处，也无法证明其经营的“安泰水之溶银杏叶精”具有上述宣传内容中的功效，构成虚假宣传的违法行为。 </w:t>
      </w:r>
    </w:p>
    <w:p w14:paraId="418121C3">
      <w:pPr>
        <w:spacing w:line="360" w:lineRule="auto"/>
        <w:ind w:firstLine="480"/>
        <w:rPr>
          <w:rFonts w:hint="default" w:ascii="等线 Light" w:hAnsi="等线 Light" w:eastAsia="等线 Light" w:cs="Times New Roman"/>
          <w:sz w:val="24"/>
          <w:highlight w:val="none"/>
          <w:lang w:val="en-US" w:eastAsia="zh-CN"/>
        </w:rPr>
      </w:pPr>
      <w:r>
        <w:rPr>
          <w:rFonts w:hint="default" w:ascii="等线 Light" w:hAnsi="等线 Light" w:eastAsia="等线 Light" w:cs="Times New Roman"/>
          <w:sz w:val="24"/>
          <w:highlight w:val="none"/>
          <w:lang w:val="en-US" w:eastAsia="zh-CN"/>
        </w:rPr>
        <w:t xml:space="preserve"> 2025年7月，上海市杨浦区市场监管局依据《中华人民共和国反不正当竞争法》（2019年修正）第二十条第一款的规定，依法作出责令当事人停止违法行为，并处罚款35万元的行政处罚。 </w:t>
      </w:r>
    </w:p>
    <w:p w14:paraId="5A3F669E">
      <w:pPr>
        <w:spacing w:line="360" w:lineRule="auto"/>
        <w:ind w:firstLine="480"/>
        <w:rPr>
          <w:rFonts w:hint="default" w:ascii="等线 Light" w:hAnsi="等线 Light" w:eastAsia="等线 Light" w:cs="Times New Roman"/>
          <w:sz w:val="24"/>
          <w:highlight w:val="none"/>
          <w:lang w:val="en-US" w:eastAsia="zh-CN"/>
        </w:rPr>
      </w:pPr>
    </w:p>
    <w:p w14:paraId="62BFD2D2">
      <w:pPr>
        <w:spacing w:line="360" w:lineRule="auto"/>
        <w:ind w:firstLine="480"/>
        <w:rPr>
          <w:rFonts w:hint="default" w:ascii="等线 Light" w:hAnsi="等线 Light" w:eastAsia="等线 Light" w:cs="Times New Roman"/>
          <w:b/>
          <w:bCs/>
          <w:sz w:val="24"/>
          <w:highlight w:val="none"/>
          <w:lang w:val="en-US" w:eastAsia="zh-CN"/>
        </w:rPr>
      </w:pPr>
      <w:r>
        <w:rPr>
          <w:rFonts w:hint="default" w:ascii="等线 Light" w:hAnsi="等线 Light" w:eastAsia="等线 Light" w:cs="Times New Roman"/>
          <w:b/>
          <w:bCs/>
          <w:sz w:val="24"/>
          <w:highlight w:val="none"/>
          <w:lang w:val="en-US" w:eastAsia="zh-CN"/>
        </w:rPr>
        <w:t xml:space="preserve"> 四、内蒙古自治区通辽市市场监管局查处通辽市荭人汇传媒有限公司虚假宣传案 </w:t>
      </w:r>
    </w:p>
    <w:p w14:paraId="7479AEE3">
      <w:pPr>
        <w:spacing w:line="360" w:lineRule="auto"/>
        <w:ind w:firstLine="480"/>
        <w:rPr>
          <w:rFonts w:hint="default" w:ascii="等线 Light" w:hAnsi="等线 Light" w:eastAsia="等线 Light" w:cs="Times New Roman"/>
          <w:sz w:val="24"/>
          <w:highlight w:val="none"/>
          <w:lang w:val="en-US" w:eastAsia="zh-CN"/>
        </w:rPr>
      </w:pPr>
      <w:r>
        <w:rPr>
          <w:rFonts w:hint="default" w:ascii="等线 Light" w:hAnsi="等线 Light" w:eastAsia="等线 Light" w:cs="Times New Roman"/>
          <w:sz w:val="24"/>
          <w:highlight w:val="none"/>
          <w:lang w:val="en-US" w:eastAsia="zh-CN"/>
        </w:rPr>
        <w:t xml:space="preserve"> 经查，2025年8月23日，通辽市荭人汇传媒有限公司（以下简称当事人）在某平台“老狗（128）”直播间内，针对啤酒、卤煮料、果仁等17种直播商品，采用下单购买后退款、下单后不付款等手段进行刷单，虚构交易额数据信息，对商品销售状况作虚假宣传。此外，在2025年7月到11月期间，当事人还针对多种直播商品，通过要求该公司员工下单后不付款、付款后退货的方式，虚构交易额数据信息。 </w:t>
      </w:r>
    </w:p>
    <w:p w14:paraId="4241F47B">
      <w:pPr>
        <w:spacing w:line="360" w:lineRule="auto"/>
        <w:ind w:firstLine="480"/>
        <w:rPr>
          <w:rFonts w:hint="eastAsia" w:ascii="等线 Light" w:hAnsi="等线 Light" w:eastAsia="等线 Light" w:cs="Times New Roman"/>
          <w:sz w:val="24"/>
          <w:highlight w:val="none"/>
          <w:lang w:val="en-US" w:eastAsia="zh-CN"/>
        </w:rPr>
      </w:pPr>
      <w:r>
        <w:rPr>
          <w:rFonts w:hint="default" w:ascii="等线 Light" w:hAnsi="等线 Light" w:eastAsia="等线 Light" w:cs="Times New Roman"/>
          <w:sz w:val="24"/>
          <w:highlight w:val="none"/>
          <w:lang w:val="en-US" w:eastAsia="zh-CN"/>
        </w:rPr>
        <w:t xml:space="preserve"> 2025年12月，通辽市市场监管局依据《网络反不正当竞争暂行规定》第九条第一款第二项和第三十四条，《中华人民共和国反不正当竞争法》第二十五条第一款的规定，依法作出责令当事人改正违法行为，并处罚款40万元的行政处罚。</w:t>
      </w:r>
    </w:p>
    <w:p w14:paraId="38A4FB8B">
      <w:pPr>
        <w:spacing w:line="360" w:lineRule="auto"/>
        <w:rPr>
          <w:rFonts w:ascii="等线 Light" w:hAnsi="等线 Light" w:eastAsia="等线 Light" w:cs="Times New Roman"/>
          <w:b/>
          <w:bCs/>
          <w:sz w:val="32"/>
          <w:szCs w:val="32"/>
          <w:highlight w:val="none"/>
        </w:rPr>
      </w:pPr>
      <w:r>
        <w:rPr>
          <w:rFonts w:hint="eastAsia" w:ascii="等线 Light" w:hAnsi="等线 Light" w:eastAsia="等线 Light" w:cs="Times New Roman"/>
          <w:sz w:val="24"/>
          <w:highlight w:val="none"/>
          <w:lang w:val="en-US" w:eastAsia="zh-CN"/>
        </w:rPr>
        <w:t>来源：市语新说微信公众号</w:t>
      </w:r>
    </w:p>
    <w:p w14:paraId="7977CE25">
      <w:pPr>
        <w:spacing w:line="360" w:lineRule="auto"/>
        <w:rPr>
          <w:rFonts w:hint="eastAsia" w:ascii="等线 Light" w:hAnsi="等线 Light" w:eastAsia="等线 Light" w:cs="Times New Roman"/>
          <w:b/>
          <w:bCs/>
          <w:sz w:val="32"/>
          <w:szCs w:val="32"/>
          <w:highlight w:val="none"/>
          <w:lang w:val="en-US" w:eastAsia="zh-CN"/>
        </w:rPr>
      </w:pPr>
      <w:bookmarkStart w:id="10" w:name="_Toc18209747"/>
    </w:p>
    <w:p w14:paraId="6CF858A6">
      <w:pPr>
        <w:spacing w:line="360" w:lineRule="auto"/>
        <w:rPr>
          <w:rFonts w:hint="eastAsia" w:ascii="等线 Light" w:hAnsi="等线 Light" w:eastAsia="等线 Light" w:cs="Times New Roman"/>
          <w:sz w:val="24"/>
          <w:highlight w:val="none"/>
          <w:lang w:eastAsia="zh-CN"/>
        </w:rPr>
      </w:pPr>
      <w:r>
        <w:rPr>
          <w:rFonts w:hint="eastAsia" w:ascii="等线 Light" w:hAnsi="等线 Light" w:eastAsia="等线 Light" w:cs="Times New Roman"/>
          <w:b/>
          <w:bCs/>
          <w:sz w:val="32"/>
          <w:szCs w:val="32"/>
          <w:highlight w:val="none"/>
          <w:lang w:val="en-US" w:eastAsia="zh-CN"/>
        </w:rPr>
        <w:t>5</w:t>
      </w:r>
      <w:r>
        <w:rPr>
          <w:rFonts w:hint="eastAsia" w:ascii="等线 Light" w:hAnsi="等线 Light" w:eastAsia="等线 Light" w:cs="Times New Roman"/>
          <w:b/>
          <w:bCs/>
          <w:sz w:val="32"/>
          <w:szCs w:val="32"/>
          <w:highlight w:val="none"/>
        </w:rPr>
        <w:t xml:space="preserve">. </w:t>
      </w:r>
      <w:bookmarkEnd w:id="10"/>
      <w:r>
        <w:rPr>
          <w:rFonts w:hint="eastAsia" w:ascii="等线 Light" w:hAnsi="等线 Light" w:eastAsia="等线 Light" w:cs="Times New Roman"/>
          <w:b/>
          <w:bCs/>
          <w:sz w:val="32"/>
          <w:szCs w:val="32"/>
          <w:highlight w:val="none"/>
          <w:lang w:val="en-US" w:eastAsia="zh-CN"/>
        </w:rPr>
        <w:t>虚拟偶像“人肉开盒”的侵权责任认定</w:t>
      </w:r>
    </w:p>
    <w:p w14:paraId="76E98AE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0"/>
        <w:jc w:val="center"/>
        <w:rPr>
          <w:rFonts w:hint="default" w:ascii="等线 Light" w:hAnsi="等线 Light" w:eastAsia="等线 Light" w:cs="Times New Roman"/>
          <w:b/>
          <w:bCs/>
          <w:kern w:val="2"/>
          <w:sz w:val="24"/>
          <w:szCs w:val="24"/>
          <w:highlight w:val="none"/>
          <w:lang w:val="en-US" w:eastAsia="zh-CN" w:bidi="ar-SA"/>
        </w:rPr>
      </w:pPr>
      <w:r>
        <w:rPr>
          <w:rFonts w:hint="eastAsia" w:ascii="等线 Light" w:hAnsi="等线 Light" w:eastAsia="等线 Light" w:cs="Times New Roman"/>
          <w:b/>
          <w:bCs/>
          <w:kern w:val="2"/>
          <w:sz w:val="24"/>
          <w:szCs w:val="24"/>
          <w:highlight w:val="none"/>
          <w:lang w:val="en-US" w:eastAsia="zh-CN" w:bidi="ar-SA"/>
        </w:rPr>
        <w:t>基本案情</w:t>
      </w:r>
    </w:p>
    <w:p w14:paraId="67B7657C">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480" w:firstLineChars="200"/>
        <w:jc w:val="both"/>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b/>
          <w:bCs/>
          <w:kern w:val="2"/>
          <w:sz w:val="24"/>
          <w:szCs w:val="24"/>
          <w:highlight w:val="none"/>
          <w:lang w:val="en-US" w:eastAsia="zh-CN" w:bidi="ar-SA"/>
        </w:rPr>
        <w:t>陈某某诉称：</w:t>
      </w:r>
      <w:r>
        <w:rPr>
          <w:rFonts w:hint="eastAsia" w:ascii="等线 Light" w:hAnsi="等线 Light" w:eastAsia="等线 Light" w:cs="Times New Roman"/>
          <w:kern w:val="2"/>
          <w:sz w:val="24"/>
          <w:szCs w:val="24"/>
          <w:highlight w:val="none"/>
          <w:lang w:val="en-US" w:eastAsia="zh-CN" w:bidi="ar-SA"/>
        </w:rPr>
        <w:t>2020年其以某女团虚拟成员“某宝”身份出道，并被多次评选为“最受欢迎虚拟歌手偶像”“年度人气虚拟UP主”，具有较高社会知名度。2024年10月11日，李某实名注册的微博账号针对陈某某发布的言论，在毫无事实依据的情况下对其进行人身攻击，构成对其名誉权的侵害。因案涉微博账号由历某某实际使用，遂诉请李某、历某某：1.通过《广州日报》《北京日报》《羊城晚报》及案涉微博账号首页置顶等方式，发布经原告审核确认的致歉声明，为其消除影响、恢复名誉；2.赔偿精神损害抚慰金20万元及为本次维权支出的律师费5000元；3.承担该案全部诉讼费用。</w:t>
      </w:r>
    </w:p>
    <w:p w14:paraId="1054409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480" w:firstLineChars="200"/>
        <w:jc w:val="both"/>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b/>
          <w:bCs/>
          <w:kern w:val="2"/>
          <w:sz w:val="24"/>
          <w:szCs w:val="24"/>
          <w:highlight w:val="none"/>
          <w:lang w:val="en-US" w:eastAsia="zh-CN" w:bidi="ar-SA"/>
        </w:rPr>
        <w:t>李某、历某某辩称：</w:t>
      </w:r>
      <w:r>
        <w:rPr>
          <w:rFonts w:hint="eastAsia" w:ascii="等线 Light" w:hAnsi="等线 Light" w:eastAsia="等线 Light" w:cs="Times New Roman"/>
          <w:kern w:val="2"/>
          <w:sz w:val="24"/>
          <w:szCs w:val="24"/>
          <w:highlight w:val="none"/>
          <w:lang w:val="en-US" w:eastAsia="zh-CN" w:bidi="ar-SA"/>
        </w:rPr>
        <w:t>其一，案涉微博言论指向虚拟主播“某宝”及其引发的网络热点事件，而非原告陈某某本人，被告在发布言论时对原告的真实身份并不知情；其二，“某宝”作为虚拟偶像应属特殊的公众人物，因其过往不当言论引发的网络热点属于公共事件，应当接受社会舆论的监督。案涉微博言论虽措辞犀利，但属于合理监督范畴，未超出言论自由的边界；其三，被告对所评论事件的真实性已尽到合理关注义务，没有捏造、歪曲事实，并于同日转发了“某宝”的官方澄清公告，且案涉微博发布后不久即主动设置为私密状态，影响范围有限。综上，其未对陈某某实施侵权行为。</w:t>
      </w:r>
    </w:p>
    <w:p w14:paraId="1E912E7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480" w:firstLineChars="200"/>
        <w:jc w:val="both"/>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b/>
          <w:bCs/>
          <w:kern w:val="2"/>
          <w:sz w:val="24"/>
          <w:szCs w:val="24"/>
          <w:highlight w:val="none"/>
          <w:lang w:val="en-US" w:eastAsia="zh-CN" w:bidi="ar-SA"/>
        </w:rPr>
        <w:t>法院经审理查明：</w:t>
      </w:r>
      <w:r>
        <w:rPr>
          <w:rFonts w:hint="eastAsia" w:ascii="等线 Light" w:hAnsi="等线 Light" w:eastAsia="等线 Light" w:cs="Times New Roman"/>
          <w:kern w:val="2"/>
          <w:sz w:val="24"/>
          <w:szCs w:val="24"/>
          <w:highlight w:val="none"/>
          <w:lang w:val="en-US" w:eastAsia="zh-CN" w:bidi="ar-SA"/>
        </w:rPr>
        <w:t>自2020年起，陈某某以某女团虚拟成员“某宝”的身份开展演艺事业。“某宝”系由陈某某本人扮演，并提供面部捕捉、动作捕捉及配音演艺的虚拟偶像艺人，且陈某某系其唯一扮演者，即“中之人”。该虚拟偶像曾被评选为2022年“最受欢迎虚拟歌手偶像”及2023年“年度人气虚拟UP主”，其哔哩哔哩账号“某宝”粉丝数超50万人。</w:t>
      </w:r>
    </w:p>
    <w:p w14:paraId="32AE6CA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480" w:firstLineChars="200"/>
        <w:jc w:val="both"/>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2024年10月，陈某某被“开盒”，即个人身份信息及其2020年前使用并已注销的个人微博账号所发布的历史言论，被部分网民以非法手段获取并公开发布。其中对部分社会事件的评论内容，被部分网民解读为具有性别对立倾向，从而引发了针对虚拟偶像“某宝”及其“中之人”陈某某的广泛网络争议。为应对该舆论事件，陈某某于2024年10月10日晚，以“某宝”的身份于哔哩哔哩平台进行直播回应。</w:t>
      </w:r>
    </w:p>
    <w:p w14:paraId="5804105C">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480" w:firstLineChars="200"/>
        <w:jc w:val="both"/>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李某与历某某为母子关系。李某系案涉侵权微博账号的实名认证主体。该账号粉丝数量超过50万人。历某某自述，因愤慨陈某某未在回应直播中进行道歉而发表案涉侵权言论。其中包含如下表述：“不过她这名字取得挺好的‘某宝’估计做梦都在骟自己粉丝吧……自古以来靠出卖‘色相’或者牺牲性机会的东西都比较恨另外一个性别，太监、妓女都是这样，到了现在只是‘色相’的买卖方式换了个载体。而且她们这些皮套人、福利ji（以图形符号代替）面对的客人反而更多了……”，配有“某宝”直播时的画面截图。截至2024年10月17日，该微博获9565次点赞、675条评论、274次转发。</w:t>
      </w:r>
    </w:p>
    <w:p w14:paraId="7F8ED93D">
      <w:pPr>
        <w:numPr>
          <w:ilvl w:val="0"/>
          <w:numId w:val="0"/>
        </w:numPr>
        <w:jc w:val="center"/>
        <w:rPr>
          <w:rFonts w:hint="eastAsia" w:ascii="等线 Light" w:hAnsi="等线 Light" w:eastAsia="等线 Light" w:cs="Times New Roman"/>
          <w:b/>
          <w:bCs/>
          <w:kern w:val="2"/>
          <w:sz w:val="24"/>
          <w:szCs w:val="24"/>
          <w:highlight w:val="none"/>
          <w:lang w:val="en-US" w:eastAsia="zh-CN" w:bidi="ar-SA"/>
        </w:rPr>
      </w:pPr>
      <w:r>
        <w:rPr>
          <w:rFonts w:hint="eastAsia" w:ascii="等线 Light" w:hAnsi="等线 Light" w:eastAsia="等线 Light" w:cs="Times New Roman"/>
          <w:b/>
          <w:bCs/>
          <w:kern w:val="2"/>
          <w:sz w:val="24"/>
          <w:szCs w:val="24"/>
          <w:highlight w:val="none"/>
          <w:lang w:val="en-US" w:eastAsia="zh-CN" w:bidi="ar-SA"/>
        </w:rPr>
        <w:t>裁判结果</w:t>
      </w:r>
    </w:p>
    <w:p w14:paraId="280083D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480" w:firstLineChars="200"/>
        <w:jc w:val="both"/>
        <w:rPr>
          <w:rFonts w:hint="default" w:ascii="等线 Light" w:hAnsi="等线 Light" w:eastAsia="等线 Light" w:cs="Times New Roman"/>
          <w:kern w:val="2"/>
          <w:sz w:val="24"/>
          <w:szCs w:val="24"/>
          <w:highlight w:val="none"/>
          <w:lang w:val="en-US" w:eastAsia="zh-CN" w:bidi="ar-SA"/>
        </w:rPr>
      </w:pPr>
      <w:r>
        <w:rPr>
          <w:rFonts w:hint="default" w:ascii="等线 Light" w:hAnsi="等线 Light" w:eastAsia="等线 Light" w:cs="Times New Roman"/>
          <w:b/>
          <w:bCs/>
          <w:kern w:val="2"/>
          <w:sz w:val="24"/>
          <w:szCs w:val="24"/>
          <w:highlight w:val="none"/>
          <w:lang w:val="en-US" w:eastAsia="zh-CN" w:bidi="ar-SA"/>
        </w:rPr>
        <w:t>广州互联网法院判决：</w:t>
      </w:r>
    </w:p>
    <w:p w14:paraId="74B28BB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480" w:firstLineChars="200"/>
        <w:jc w:val="both"/>
        <w:rPr>
          <w:rFonts w:hint="default"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一、被告李某、历某某于判决生效之日起十五日内，在微博账号“某某鸭唐”首页置顶发布经法院审核的致歉声明，向原告陈某某赔礼道歉、消除影响，持续时间不少于30天。</w:t>
      </w:r>
    </w:p>
    <w:p w14:paraId="2A41530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480" w:firstLineChars="200"/>
        <w:jc w:val="both"/>
        <w:rPr>
          <w:rFonts w:hint="default"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二、被告李某、历某某于判决生效之日起十日内，向原告陈某某赔偿精神损害抚慰金10000元。</w:t>
      </w:r>
    </w:p>
    <w:p w14:paraId="723E168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480" w:firstLineChars="200"/>
        <w:jc w:val="both"/>
        <w:rPr>
          <w:rFonts w:hint="default"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三、被告李某、历某某于判决生效之日起十日内，向原告陈某某赔偿合理开支（律师费）5000元。</w:t>
      </w:r>
    </w:p>
    <w:p w14:paraId="650AE43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480" w:firstLineChars="200"/>
        <w:jc w:val="both"/>
        <w:rPr>
          <w:rFonts w:hint="default"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四、驳回原告陈某某的其他诉讼请求。案件受理费1500元，由原告陈某某负担1000元，被告李某、历某某负担500元。</w:t>
      </w:r>
    </w:p>
    <w:p w14:paraId="5FDFBEC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480" w:firstLineChars="200"/>
        <w:jc w:val="both"/>
        <w:rPr>
          <w:rFonts w:hint="eastAsia" w:ascii="等线 Light" w:hAnsi="等线 Light" w:eastAsia="等线 Light" w:cs="Times New Roman"/>
          <w:b/>
          <w:bCs/>
          <w:kern w:val="2"/>
          <w:sz w:val="24"/>
          <w:szCs w:val="24"/>
          <w:highlight w:val="none"/>
          <w:lang w:val="en-US" w:eastAsia="zh-CN" w:bidi="ar-SA"/>
        </w:rPr>
      </w:pPr>
      <w:r>
        <w:rPr>
          <w:rFonts w:hint="eastAsia" w:ascii="等线 Light" w:hAnsi="等线 Light" w:eastAsia="等线 Light" w:cs="Times New Roman"/>
          <w:b/>
          <w:bCs/>
          <w:kern w:val="2"/>
          <w:sz w:val="24"/>
          <w:szCs w:val="24"/>
          <w:highlight w:val="none"/>
          <w:lang w:val="en-US" w:eastAsia="zh-CN" w:bidi="ar-SA"/>
        </w:rPr>
        <w:t>该判决已发生法律效力。</w:t>
      </w:r>
    </w:p>
    <w:p w14:paraId="09602D0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0"/>
        <w:jc w:val="center"/>
        <w:rPr>
          <w:rFonts w:hint="default"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b/>
          <w:bCs/>
          <w:kern w:val="2"/>
          <w:sz w:val="24"/>
          <w:szCs w:val="24"/>
          <w:highlight w:val="none"/>
          <w:lang w:val="en-US" w:eastAsia="zh-CN" w:bidi="ar-SA"/>
        </w:rPr>
        <w:t>裁判理由</w:t>
      </w:r>
    </w:p>
    <w:p w14:paraId="662E760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480" w:firstLineChars="200"/>
        <w:jc w:val="both"/>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b/>
          <w:bCs/>
          <w:kern w:val="2"/>
          <w:sz w:val="24"/>
          <w:szCs w:val="24"/>
          <w:highlight w:val="none"/>
          <w:lang w:val="en-US" w:eastAsia="zh-CN" w:bidi="ar-SA"/>
        </w:rPr>
        <w:t>法院生效裁判认为，该案系网络侵权责任纠纷。</w:t>
      </w:r>
      <w:r>
        <w:rPr>
          <w:rFonts w:hint="eastAsia" w:ascii="等线 Light" w:hAnsi="等线 Light" w:eastAsia="等线 Light" w:cs="Times New Roman"/>
          <w:kern w:val="2"/>
          <w:sz w:val="24"/>
          <w:szCs w:val="24"/>
          <w:highlight w:val="none"/>
          <w:lang w:val="en-US" w:eastAsia="zh-CN" w:bidi="ar-SA"/>
        </w:rPr>
        <w:t>案件焦点为：一、被告历某某发布的案涉微博言论是否侵害了原告陈某某的名誉权；二、如构成侵权，被告李某、历某某应如何承担民事责任。</w:t>
      </w:r>
    </w:p>
    <w:p w14:paraId="20FB0A7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480" w:firstLineChars="200"/>
        <w:jc w:val="both"/>
        <w:rPr>
          <w:rFonts w:hint="eastAsia" w:ascii="等线 Light" w:hAnsi="等线 Light" w:eastAsia="等线 Light" w:cs="Times New Roman"/>
          <w:b/>
          <w:bCs/>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关于争议焦点一，</w:t>
      </w:r>
      <w:r>
        <w:rPr>
          <w:rFonts w:hint="eastAsia" w:ascii="等线 Light" w:hAnsi="等线 Light" w:eastAsia="等线 Light" w:cs="Times New Roman"/>
          <w:b/>
          <w:bCs/>
          <w:kern w:val="2"/>
          <w:sz w:val="24"/>
          <w:szCs w:val="24"/>
          <w:highlight w:val="none"/>
          <w:lang w:val="en-US" w:eastAsia="zh-CN" w:bidi="ar-SA"/>
        </w:rPr>
        <w:t>名誉权保护的对象是民事主体，</w:t>
      </w:r>
      <w:r>
        <w:rPr>
          <w:rFonts w:hint="eastAsia" w:ascii="等线 Light" w:hAnsi="等线 Light" w:eastAsia="等线 Light" w:cs="Times New Roman"/>
          <w:kern w:val="2"/>
          <w:sz w:val="24"/>
          <w:szCs w:val="24"/>
          <w:highlight w:val="none"/>
          <w:lang w:val="en-US" w:eastAsia="zh-CN" w:bidi="ar-SA"/>
        </w:rPr>
        <w:t>虚拟数字人“某宝”作为人工智能产物，不具有民事法律地位，亦不享有名誉权。案涉言论虽指向“某宝”，但发布于原告作为“中之人”的个人信息被“开盒”曝光后；陈某某一直是“某宝”唯一的扮演者，二者已形成稳定的对应关系，能让一定范围内的公众将虚拟形象与现实主体相关联。因此，案涉微博内容实质指向陈某某。关于“舆论监督”的抗辩。陈某某在出道前就个别社会新闻发表的个人言论并不涉及公共利益；即便部分群体对该言论不满，被告在微博中使用“福利ji”“太监”“妓女”等侮辱性词汇进行人身攻击，其贬损原告人格的意图明显，已超出舆论监督的正当范畴，具有主观过错。鉴于案涉微博账号粉丝量巨大，言论传播范围广，客观上必然导致原告社会评价降低。因此，</w:t>
      </w:r>
      <w:r>
        <w:rPr>
          <w:rFonts w:hint="eastAsia" w:ascii="等线 Light" w:hAnsi="等线 Light" w:eastAsia="等线 Light" w:cs="Times New Roman"/>
          <w:b/>
          <w:bCs/>
          <w:kern w:val="2"/>
          <w:sz w:val="24"/>
          <w:szCs w:val="24"/>
          <w:highlight w:val="none"/>
          <w:lang w:val="en-US" w:eastAsia="zh-CN" w:bidi="ar-SA"/>
        </w:rPr>
        <w:t>历某某发布的言论构成对原告陈某某名誉权的侵害。</w:t>
      </w:r>
    </w:p>
    <w:p w14:paraId="042E381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0"/>
        <w:jc w:val="both"/>
        <w:rPr>
          <w:rFonts w:hint="eastAsia" w:ascii="等线 Light" w:hAnsi="等线 Light" w:eastAsia="等线 Light" w:cs="Times New Roman"/>
          <w:kern w:val="2"/>
          <w:sz w:val="24"/>
          <w:szCs w:val="24"/>
          <w:highlight w:val="none"/>
          <w:lang w:val="en-US" w:eastAsia="zh-CN" w:bidi="ar-SA"/>
        </w:rPr>
      </w:pPr>
    </w:p>
    <w:p w14:paraId="6166880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480" w:firstLineChars="200"/>
        <w:jc w:val="both"/>
        <w:rPr>
          <w:rFonts w:hint="default"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关于争议焦点二，</w:t>
      </w:r>
      <w:r>
        <w:rPr>
          <w:rFonts w:hint="eastAsia" w:ascii="等线 Light" w:hAnsi="等线 Light" w:eastAsia="等线 Light" w:cs="Times New Roman"/>
          <w:b/>
          <w:bCs/>
          <w:kern w:val="2"/>
          <w:sz w:val="24"/>
          <w:szCs w:val="24"/>
          <w:highlight w:val="none"/>
          <w:lang w:val="en-US" w:eastAsia="zh-CN" w:bidi="ar-SA"/>
        </w:rPr>
        <w:t>李某作为案涉微博账号的实名认证主体，对账号使用负有管理义务，其与实际使用者历某某共同管理使用该账号，应就侵权行为承担连带责任。</w:t>
      </w:r>
    </w:p>
    <w:p w14:paraId="6FEC311E">
      <w:pPr>
        <w:numPr>
          <w:ilvl w:val="0"/>
          <w:numId w:val="0"/>
        </w:numPr>
        <w:jc w:val="center"/>
        <w:rPr>
          <w:rFonts w:hint="eastAsia" w:ascii="等线 Light" w:hAnsi="等线 Light" w:eastAsia="等线 Light" w:cs="Times New Roman"/>
          <w:b/>
          <w:bCs/>
          <w:kern w:val="2"/>
          <w:sz w:val="24"/>
          <w:szCs w:val="24"/>
          <w:highlight w:val="none"/>
          <w:lang w:val="en-US" w:eastAsia="zh-CN" w:bidi="ar-SA"/>
        </w:rPr>
      </w:pPr>
      <w:r>
        <w:rPr>
          <w:rFonts w:hint="eastAsia" w:ascii="等线 Light" w:hAnsi="等线 Light" w:eastAsia="等线 Light" w:cs="Times New Roman"/>
          <w:b/>
          <w:bCs/>
          <w:kern w:val="2"/>
          <w:sz w:val="24"/>
          <w:szCs w:val="24"/>
          <w:highlight w:val="none"/>
          <w:lang w:val="en-US" w:eastAsia="zh-CN" w:bidi="ar-SA"/>
        </w:rPr>
        <w:t>案例注解</w:t>
      </w:r>
    </w:p>
    <w:p w14:paraId="5FC3C040">
      <w:pPr>
        <w:numPr>
          <w:ilvl w:val="0"/>
          <w:numId w:val="0"/>
        </w:numPr>
        <w:ind w:firstLine="480" w:firstLineChars="200"/>
        <w:rPr>
          <w:rFonts w:hint="eastAsia" w:ascii="等线 Light" w:hAnsi="等线 Light" w:eastAsia="等线 Light" w:cs="Times New Roman"/>
          <w:kern w:val="2"/>
          <w:sz w:val="24"/>
          <w:szCs w:val="24"/>
          <w:highlight w:val="none"/>
          <w:lang w:val="en-US" w:eastAsia="zh-CN" w:bidi="ar-SA"/>
        </w:rPr>
      </w:pPr>
      <w:r>
        <w:rPr>
          <w:rFonts w:hint="default" w:ascii="等线 Light" w:hAnsi="等线 Light" w:eastAsia="等线 Light" w:cs="Times New Roman"/>
          <w:kern w:val="2"/>
          <w:sz w:val="24"/>
          <w:szCs w:val="24"/>
          <w:highlight w:val="none"/>
          <w:lang w:val="en-US" w:eastAsia="zh-CN" w:bidi="ar-SA"/>
        </w:rPr>
        <w:t>中国虚拟人核心市场规模预计在2025年增长至495.2亿元。随着元宇宙概念的兴起，以虚拟主播（VTuber）、虚拟偶像为代表的新型数字内容创作者，已成为网络文化产业的重要组成部分。虽然虚拟角色不具备法律主体资格，但“中之人”作为真实的自然人，其名誉权保护面临着独特的复杂性。涉虚拟数字人的过往案例，或侧重虚拟形象及相关表演的著作权保护及其侵权认定；或侧重</w:t>
      </w:r>
      <w:r>
        <w:rPr>
          <w:rFonts w:hint="eastAsia" w:ascii="等线 Light" w:hAnsi="等线 Light" w:eastAsia="等线 Light" w:cs="Times New Roman"/>
          <w:kern w:val="2"/>
          <w:sz w:val="24"/>
          <w:szCs w:val="24"/>
          <w:highlight w:val="none"/>
          <w:lang w:val="en-US" w:eastAsia="zh-CN" w:bidi="ar-SA"/>
        </w:rPr>
        <w:t>扮演者“中之人”违约责任认定。该案则聚焦虚拟偶像“中之人”兼具职业扮演者与公众人物双重身份特征，因恶意“开盒”行为引发的名誉权与隐私权的双重侵权问题，进一步探讨了公众人物权利边界、“开盒”行为的法律规制以及网络账号共同侵权3个前沿法律难题。</w:t>
      </w:r>
    </w:p>
    <w:p w14:paraId="582E578E">
      <w:pPr>
        <w:numPr>
          <w:ilvl w:val="0"/>
          <w:numId w:val="0"/>
        </w:numPr>
        <w:ind w:firstLine="480" w:firstLineChars="200"/>
        <w:rPr>
          <w:rFonts w:hint="eastAsia" w:ascii="等线 Light" w:hAnsi="等线 Light" w:eastAsia="等线 Light" w:cs="Times New Roman"/>
          <w:b/>
          <w:bCs/>
          <w:kern w:val="2"/>
          <w:sz w:val="24"/>
          <w:szCs w:val="24"/>
          <w:highlight w:val="none"/>
          <w:lang w:val="en-US" w:eastAsia="zh-CN" w:bidi="ar-SA"/>
        </w:rPr>
      </w:pPr>
      <w:r>
        <w:rPr>
          <w:rFonts w:hint="eastAsia" w:ascii="等线 Light" w:hAnsi="等线 Light" w:eastAsia="等线 Light" w:cs="Times New Roman"/>
          <w:b/>
          <w:bCs/>
          <w:kern w:val="2"/>
          <w:sz w:val="24"/>
          <w:szCs w:val="24"/>
          <w:highlight w:val="none"/>
          <w:lang w:val="en-US" w:eastAsia="zh-CN" w:bidi="ar-SA"/>
        </w:rPr>
        <w:t>1、虚拟偶像的法律属性分析</w:t>
      </w:r>
    </w:p>
    <w:p w14:paraId="2812D41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480" w:firstLineChars="200"/>
        <w:jc w:val="both"/>
        <w:rPr>
          <w:rFonts w:hint="default"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b/>
          <w:bCs/>
          <w:kern w:val="2"/>
          <w:sz w:val="24"/>
          <w:szCs w:val="24"/>
          <w:highlight w:val="none"/>
          <w:lang w:val="en-US" w:eastAsia="zh-CN" w:bidi="ar-SA"/>
        </w:rPr>
        <w:t>虚拟偶像是指以绘画、动画、CG等形式构建的，在互联网等虚拟环境中进行偶像活动的仿真偶像，属于人工智能产物。根据驱动方式的不同，分为智能驱动型与真人驱动型。</w:t>
      </w:r>
      <w:r>
        <w:rPr>
          <w:rFonts w:hint="eastAsia" w:ascii="等线 Light" w:hAnsi="等线 Light" w:eastAsia="等线 Light" w:cs="Times New Roman"/>
          <w:kern w:val="2"/>
          <w:sz w:val="24"/>
          <w:szCs w:val="24"/>
          <w:highlight w:val="none"/>
          <w:lang w:val="en-US" w:eastAsia="zh-CN" w:bidi="ar-SA"/>
        </w:rPr>
        <w:t>前者主要将语音表达、面部表情、具体动作通过深度学习模型的运算结果实时或离线驱动，在渲染后实现最终效果；后者主要依靠真人穿戴动作捕捉设备后，通过捕捉真人表情及动作驱动。无论采用何种驱动方式，虚拟偶像均呈现出以下属性。</w:t>
      </w:r>
    </w:p>
    <w:p w14:paraId="2C5460B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right="0" w:firstLine="480" w:firstLineChars="200"/>
        <w:jc w:val="both"/>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b/>
          <w:bCs/>
          <w:kern w:val="2"/>
          <w:sz w:val="24"/>
          <w:szCs w:val="24"/>
          <w:highlight w:val="none"/>
          <w:lang w:val="en-US" w:eastAsia="zh-CN" w:bidi="ar-SA"/>
        </w:rPr>
        <w:t>第一，虚拟偶像既是人格利益的载体，也是公共言论的对象。</w:t>
      </w:r>
      <w:r>
        <w:rPr>
          <w:rFonts w:hint="eastAsia" w:ascii="等线 Light" w:hAnsi="等线 Light" w:eastAsia="等线 Light" w:cs="Times New Roman"/>
          <w:kern w:val="2"/>
          <w:sz w:val="24"/>
          <w:szCs w:val="24"/>
          <w:highlight w:val="none"/>
          <w:lang w:val="en-US" w:eastAsia="zh-CN" w:bidi="ar-SA"/>
        </w:rPr>
        <w:t>当虚拟偶像的形象、声音等直接源于特定自然人时，其形象便承载着该自然人的人格权益。我国《民法典》第九百九十条所规定的肖像权、姓名权、声音权等具体人格权内容，可以覆盖到对该虚拟形象的保护。即便是纯虚构的虚拟偶像，其长期运营所积累的声誉、形象和粉丝情感依附，也使其承载了其运营公司的商业信誉，这种信誉作为法人的人格利益，同样受到《民法典》第一千零二十四条及《反不正当竞争法》的保护。在此意义上，虚拟偶像可以被理解为“人格要素的商业利用”。当虚拟偶像的影响力达到一定程度，便不可避免地进入公共领域，成为公共言论的焦点。其言行举止、商业合作、甚至幕后运营事件等，均可能成为公众讨论、批评、甚至舆论监督的对象。这实质上是个体人格权益与公共利益、公众言论自由之间的动态平衡，法律需在二者之间划出合理界限。</w:t>
      </w:r>
    </w:p>
    <w:p w14:paraId="6F252DFE">
      <w:pPr>
        <w:pStyle w:val="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Chars="0" w:right="0" w:rightChars="0" w:firstLine="480" w:firstLineChars="200"/>
        <w:jc w:val="both"/>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b/>
          <w:bCs/>
          <w:kern w:val="2"/>
          <w:sz w:val="24"/>
          <w:szCs w:val="24"/>
          <w:highlight w:val="none"/>
          <w:lang w:val="en-US" w:eastAsia="zh-CN" w:bidi="ar-SA"/>
        </w:rPr>
        <w:t>第二、虚拟偶像在社会功能上似“人”（主体），但在法律上系“物”（客体）。</w:t>
      </w:r>
      <w:r>
        <w:rPr>
          <w:rFonts w:hint="eastAsia" w:ascii="等线 Light" w:hAnsi="等线 Light" w:eastAsia="等线 Light" w:cs="Times New Roman"/>
          <w:kern w:val="2"/>
          <w:sz w:val="24"/>
          <w:szCs w:val="24"/>
          <w:highlight w:val="none"/>
          <w:lang w:val="en-US" w:eastAsia="zh-CN" w:bidi="ar-SA"/>
        </w:rPr>
        <w:t>基于高度拟人化的人格特征和持续性的社会互动，虚拟偶像能以独立形式作为品牌代言、参与商业活动，作为扮演者举办演唱会；并与万千粉丝建立稳定的社会连接，作为意见领袖参与公共议题讨论，呈现出社会关系主体的表象特征。然而，我国《民法典》第二条规定，虚拟偶像作为数字技术的产物，尚不具备民事主体资格。虚拟偶像本质上是一种数据集。我国《民法典》第一百二十七条对“网络虚拟财产”的规定，作为数据与代码的集合，虚拟偶像所有权、知识产权归属于其背后的创作者、开发者或运营企业。如“首例数字人侵权案”等案表明，无论是否真人驱动，具有独创性的虚拟数字人形象构成美术作品，表演可构成视听作品等，相关财产性权利及知识产权由其背后的创作者、开发者或运营企业，而该虚拟数字人不享有著作权和邻接权。此种主体与客体的统一决定了对虚拟偶像监督及保护需采取“责权归实”与“穿透式追责”的原则。</w:t>
      </w:r>
    </w:p>
    <w:p w14:paraId="25242A9B">
      <w:pPr>
        <w:pStyle w:val="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Chars="0" w:right="0" w:rightChars="0"/>
        <w:jc w:val="both"/>
        <w:rPr>
          <w:rFonts w:hint="eastAsia" w:ascii="等线 Light" w:hAnsi="等线 Light" w:eastAsia="等线 Light" w:cs="Times New Roman"/>
          <w:kern w:val="2"/>
          <w:sz w:val="24"/>
          <w:szCs w:val="24"/>
          <w:highlight w:val="none"/>
          <w:lang w:val="en-US" w:eastAsia="zh-CN" w:bidi="ar-SA"/>
        </w:rPr>
      </w:pPr>
    </w:p>
    <w:p w14:paraId="4EA16F52">
      <w:pPr>
        <w:pStyle w:val="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Chars="0" w:right="0" w:rightChars="0" w:firstLine="480" w:firstLineChars="200"/>
        <w:jc w:val="both"/>
        <w:rPr>
          <w:rFonts w:hint="eastAsia" w:ascii="等线 Light" w:hAnsi="等线 Light" w:eastAsia="等线 Light" w:cs="Times New Roman"/>
          <w:b/>
          <w:bCs/>
          <w:kern w:val="2"/>
          <w:sz w:val="24"/>
          <w:szCs w:val="24"/>
          <w:highlight w:val="none"/>
          <w:lang w:val="en-US" w:eastAsia="zh-CN" w:bidi="ar-SA"/>
        </w:rPr>
      </w:pPr>
      <w:r>
        <w:rPr>
          <w:rFonts w:hint="eastAsia" w:ascii="等线 Light" w:hAnsi="等线 Light" w:eastAsia="等线 Light" w:cs="Times New Roman"/>
          <w:b/>
          <w:bCs/>
          <w:kern w:val="2"/>
          <w:sz w:val="24"/>
          <w:szCs w:val="24"/>
          <w:highlight w:val="none"/>
          <w:lang w:val="en-US" w:eastAsia="zh-CN" w:bidi="ar-SA"/>
        </w:rPr>
        <w:t>2、虚拟偶像被侵权争议的穿透标准</w:t>
      </w:r>
    </w:p>
    <w:p w14:paraId="1537E55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480" w:firstLineChars="200"/>
        <w:jc w:val="both"/>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虚拟偶像非法律关系主体，那么对于公众超越合理边界的舆论监督言行如何认定，是否构成对现实主体人格权的侵害？对此，司法实践通常采用“可对应性”标准来判断侵权行为的“指向性”，然而，这种“可对应性”的建立方式在不同案件中存在显著差异。如最高院公报案例“张静诉俞凌风案”中，系基于当事人在现实生活中知道对方的真实身份，且网名被其他网友所知悉，认定侵权成立；再如“杨某诉陆某等案”中，游戏角色“杨xx”与原告杨某之间的可对应性，是基于特定游戏玩家社群内部成员的相互了解，其他玩家基于共同游戏经验和社交背景，将对角色的侮辱等同于对杨某本人。</w:t>
      </w:r>
    </w:p>
    <w:p w14:paraId="4E52120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480" w:firstLineChars="200"/>
        <w:jc w:val="both"/>
        <w:rPr>
          <w:rFonts w:hint="eastAsia" w:ascii="等线 Light" w:hAnsi="等线 Light" w:eastAsia="等线 Light" w:cs="Times New Roman"/>
          <w:kern w:val="2"/>
          <w:sz w:val="24"/>
          <w:szCs w:val="24"/>
          <w:highlight w:val="none"/>
          <w:lang w:val="en-US" w:eastAsia="zh-CN" w:bidi="ar-SA"/>
        </w:rPr>
      </w:pPr>
      <w:r>
        <w:rPr>
          <w:rFonts w:hint="default" w:ascii="等线 Light" w:hAnsi="等线 Light" w:eastAsia="等线 Light" w:cs="Times New Roman"/>
          <w:b/>
          <w:bCs/>
          <w:kern w:val="2"/>
          <w:sz w:val="24"/>
          <w:szCs w:val="24"/>
          <w:highlight w:val="none"/>
          <w:lang w:val="en-US" w:eastAsia="zh-CN" w:bidi="ar-SA"/>
        </w:rPr>
        <w:t>首先，结合侵权人言论及主观意识，判断能否直接指向虚拟偶像背后的现实主体或其他被侵权主体。</w:t>
      </w:r>
      <w:r>
        <w:rPr>
          <w:rFonts w:hint="eastAsia" w:ascii="等线 Light" w:hAnsi="等线 Light" w:eastAsia="等线 Light" w:cs="Times New Roman"/>
          <w:kern w:val="2"/>
          <w:sz w:val="24"/>
          <w:szCs w:val="24"/>
          <w:highlight w:val="none"/>
          <w:lang w:val="en-US" w:eastAsia="zh-CN" w:bidi="ar-SA"/>
        </w:rPr>
        <w:t>相较于游戏角色、网名、ID等虚拟符号，虚拟偶像形象的公众性与“中之人”身份的保密性，使得此种身份关系的“可对应性”更为复杂。该案的“开盒”行为，强行打破了虚拟与现实之间的壁垒，为后续的人格侮辱创造了条件。因此，对虚拟偶像与现实主体的对应性判断，不仅考虑侵权人的主观认知，还需综合考虑虚拟形象与真实身份之间的关联强度、社会公众的认知程度以及侵权行为发生的具体语境等因素。根据《最高人民法院关于民事诉讼证据的若干规定》第三条有关自认的规定，该案中，被告历某某自认其言论系针对陈某某出道前通过个人微博账号发布言论的看法，构成直接证据。但此种自认并非常态，此时需进一步考量其他因素确定侵权言论所指向的特定主体。</w:t>
      </w:r>
    </w:p>
    <w:p w14:paraId="0C6A744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480" w:firstLineChars="200"/>
        <w:jc w:val="both"/>
        <w:rPr>
          <w:rFonts w:hint="eastAsia" w:ascii="等线 Light" w:hAnsi="等线 Light" w:eastAsia="等线 Light" w:cs="Times New Roman"/>
          <w:kern w:val="2"/>
          <w:sz w:val="24"/>
          <w:szCs w:val="24"/>
          <w:highlight w:val="none"/>
          <w:lang w:val="en-US" w:eastAsia="zh-CN" w:bidi="ar-SA"/>
        </w:rPr>
      </w:pPr>
      <w:r>
        <w:rPr>
          <w:rFonts w:hint="default" w:ascii="等线 Light" w:hAnsi="等线 Light" w:eastAsia="等线 Light" w:cs="Times New Roman"/>
          <w:b/>
          <w:bCs/>
          <w:kern w:val="2"/>
          <w:sz w:val="24"/>
          <w:szCs w:val="24"/>
          <w:highlight w:val="none"/>
          <w:lang w:val="en-US" w:eastAsia="zh-CN" w:bidi="ar-SA"/>
        </w:rPr>
        <w:t>其次，结合虚拟偶像的具体类型及表演风格等，判断该形象是否呈现特定主体的排他性身份信息或特征。</w:t>
      </w:r>
      <w:r>
        <w:rPr>
          <w:rFonts w:hint="eastAsia" w:ascii="等线 Light" w:hAnsi="等线 Light" w:eastAsia="等线 Light" w:cs="Times New Roman"/>
          <w:kern w:val="2"/>
          <w:sz w:val="24"/>
          <w:szCs w:val="24"/>
          <w:highlight w:val="none"/>
          <w:lang w:val="en-US" w:eastAsia="zh-CN" w:bidi="ar-SA"/>
        </w:rPr>
        <w:t>从产业应用角度来看，真人驱动型虚拟数字人可以分成三类，一是与真人形象无关的，例如仅参与动作和语言捕捉；二是与真人形象有关并且主要依靠真人身份价值，例如知名人物形象数字化；三是与真人形象有关但是基于应用场景需求要尽可能隐去真人身份，如本案中的虚拟偶像“某宝”。一般而言，真人参与度越高则人身属性越强，当认定侵权时，穿透至背后现实主体的关联性也更强。此外，如若虚拟偶像能够呈现特定现实主体的外观形象、以及招牌动作、语言风格、特定表情、声音等个性化特征，且一定的社会群体能够将该种呈现进行关联，则可指向该现实主体。</w:t>
      </w:r>
    </w:p>
    <w:p w14:paraId="2DB3D60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480" w:firstLineChars="200"/>
        <w:jc w:val="both"/>
        <w:rPr>
          <w:rFonts w:hint="eastAsia" w:ascii="等线 Light" w:hAnsi="等线 Light" w:eastAsia="等线 Light" w:cs="Times New Roman"/>
          <w:kern w:val="2"/>
          <w:sz w:val="24"/>
          <w:szCs w:val="24"/>
          <w:highlight w:val="none"/>
          <w:lang w:val="en-US" w:eastAsia="zh-CN" w:bidi="ar-SA"/>
        </w:rPr>
      </w:pPr>
      <w:r>
        <w:rPr>
          <w:rFonts w:hint="default" w:ascii="等线 Light" w:hAnsi="等线 Light" w:eastAsia="等线 Light" w:cs="Times New Roman"/>
          <w:b/>
          <w:bCs/>
          <w:kern w:val="2"/>
          <w:sz w:val="24"/>
          <w:szCs w:val="24"/>
          <w:highlight w:val="none"/>
          <w:lang w:val="en-US" w:eastAsia="zh-CN" w:bidi="ar-SA"/>
        </w:rPr>
        <w:t>最后，结合虚拟偶像与扮演者身份关联的公开性，判断一般理性人是否会将该虚拟形象与特定现实主体关联起来。</w:t>
      </w:r>
      <w:r>
        <w:rPr>
          <w:rFonts w:hint="eastAsia" w:ascii="等线 Light" w:hAnsi="等线 Light" w:eastAsia="等线 Light" w:cs="Times New Roman"/>
          <w:kern w:val="2"/>
          <w:sz w:val="24"/>
          <w:szCs w:val="24"/>
          <w:highlight w:val="none"/>
          <w:lang w:val="en-US" w:eastAsia="zh-CN" w:bidi="ar-SA"/>
        </w:rPr>
        <w:t>通过具体类型无法识别虚拟偶像背后扮演者主体的情况下，则可以一般公众的生活经验及常识为标准，判断一定粉丝群体能否将针对虚拟偶像的不当言论与具体现实主体相对应。此种对应性需要满足持续性、稳定性和可识别性要件，具体考察：1.“中之人”身份是否已被“开盒”或处于半公开状态，二者的身份对应在一定粉丝群体内形成共识；2.虚拟偶像背后的“中之人”等扮演者是否稳定且唯一的；3.侵权行为发生的特定时间、地点、背景等因素。该案中，“某宝”由陈某某长期、稳定地扮演，二者已形成强对应关系，案涉侵权行为发生在陈某某被“开盒”、其真实身份信息与过往言论已成为网络热点之后，在粉丝群体和相关公众中，该虚拟形象已成为陈某某身份的重要标识。该案通过对身份的唯一性与因“开盒”导致的公开性、言论紧随“开盒”事件的语境关联性、以及被告明确针对“中之人”历史言论的意图这三个关键事实的把握，认定了侮辱性言论虽指向“某宝”，但实质上损害的是陈某某的人格尊严。</w:t>
      </w:r>
    </w:p>
    <w:p w14:paraId="17B69D6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480" w:firstLineChars="200"/>
        <w:jc w:val="both"/>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从域外实践来看，日本作为虚拟主播（VTuber）产业高度发达的国家，日本法院通过“内容特定性”（コンテンツの特定性）原则，在宝钟玛琳（宝鐘マリン）案中首次认定发帖诽谤留言虽表面指向虚拟形象，实质损害背后真人名誉，判令平台披露发帖人身份。韩国对于以“开盒”为手段、行网络暴力之实的严重侵权行为，辅之动用刑法手段予以规制，如韩国“脱粉收容所”案，首尔中央地方法院一审判决朴某向张元英赔偿1亿韩元，认定其通过剪辑虚假信息、散布不实内容，严重损害张元英个人名誉及所属女团IVE的整体形象，二审判决赔偿5000万韩元。除民事赔偿外，朴某还因涉嫌违反《信息通信网法》被仁川地方法院一审判处有期徒刑2年，缓期3年执行，并命令追缴约2亿韩元。</w:t>
      </w:r>
    </w:p>
    <w:p w14:paraId="7819484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480" w:firstLineChars="200"/>
        <w:jc w:val="both"/>
        <w:rPr>
          <w:rFonts w:hint="default"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因此，该案虽然未直接审理“开盒”行为人的责任，但其裁判逻辑从“开盒”行为在后续侵权链条中的基础性地位和危害性，对于今后司法实践如何应对此类复合侵权案件，具有一定的启示意义。</w:t>
      </w:r>
    </w:p>
    <w:p w14:paraId="0C7F5F3B">
      <w:pPr>
        <w:pStyle w:val="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Chars="0" w:right="0" w:rightChars="0" w:firstLine="480" w:firstLineChars="200"/>
        <w:jc w:val="both"/>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b/>
          <w:bCs/>
          <w:kern w:val="2"/>
          <w:sz w:val="24"/>
          <w:szCs w:val="24"/>
          <w:highlight w:val="none"/>
          <w:lang w:val="en-US" w:eastAsia="zh-CN" w:bidi="ar-SA"/>
        </w:rPr>
        <w:t>3、虚拟偶像被侵权的舆论监督抗辩分析</w:t>
      </w:r>
    </w:p>
    <w:p w14:paraId="734D1F22">
      <w:pPr>
        <w:numPr>
          <w:ilvl w:val="0"/>
          <w:numId w:val="0"/>
        </w:numPr>
        <w:ind w:firstLine="480" w:firstLineChars="200"/>
        <w:rPr>
          <w:rFonts w:hint="default" w:ascii="等线 Light" w:hAnsi="等线 Light" w:eastAsia="等线 Light" w:cs="Times New Roman"/>
          <w:kern w:val="2"/>
          <w:sz w:val="24"/>
          <w:szCs w:val="24"/>
          <w:highlight w:val="none"/>
          <w:lang w:val="en-US" w:eastAsia="zh-CN" w:bidi="ar-SA"/>
        </w:rPr>
      </w:pPr>
      <w:r>
        <w:rPr>
          <w:rFonts w:hint="default" w:ascii="等线 Light" w:hAnsi="等线 Light" w:eastAsia="等线 Light" w:cs="Times New Roman"/>
          <w:kern w:val="2"/>
          <w:sz w:val="24"/>
          <w:szCs w:val="24"/>
          <w:highlight w:val="none"/>
          <w:lang w:val="en-US" w:eastAsia="zh-CN" w:bidi="ar-SA"/>
        </w:rPr>
        <w:t xml:space="preserve">虚拟偶像因其对公共资源的占用及公共议题的影响天然地进入公共领域，作为一种新型的拟制公众人物，对合理的社会监督应负有一定的容忍义务，并可能延伸至其背后的法律主体。然而，这种容忍义务并非没有限度。《中华人民共和国民法典》第一千零二十五条确立了舆论监督的“公共利益”前提和三项“除外”情形。因此，对于虚拟偶像舆论监督的边界在于言论是否涉及公共利益以及表达方式是否超出了法律所允许的范围。 </w:t>
      </w:r>
    </w:p>
    <w:p w14:paraId="375F47C7">
      <w:pPr>
        <w:numPr>
          <w:ilvl w:val="0"/>
          <w:numId w:val="0"/>
        </w:numPr>
        <w:ind w:firstLine="480" w:firstLineChars="200"/>
        <w:rPr>
          <w:rFonts w:hint="default" w:ascii="等线 Light" w:hAnsi="等线 Light" w:eastAsia="等线 Light" w:cs="Times New Roman"/>
          <w:kern w:val="2"/>
          <w:sz w:val="24"/>
          <w:szCs w:val="24"/>
          <w:highlight w:val="none"/>
          <w:lang w:val="en-US" w:eastAsia="zh-CN" w:bidi="ar-SA"/>
        </w:rPr>
      </w:pPr>
      <w:r>
        <w:rPr>
          <w:rFonts w:hint="default" w:ascii="等线 Light" w:hAnsi="等线 Light" w:eastAsia="等线 Light" w:cs="Times New Roman"/>
          <w:kern w:val="2"/>
          <w:sz w:val="24"/>
          <w:szCs w:val="24"/>
          <w:highlight w:val="none"/>
          <w:lang w:val="en-US" w:eastAsia="zh-CN" w:bidi="ar-SA"/>
        </w:rPr>
        <w:t xml:space="preserve">监督内容上，“公利性”的判断应以紧密、必要为原则。公共利益指作为整体的社会所共享的、共同的利益和好处。对于虚拟偶像的监督范围，一般包括：1.虚拟偶像及其“中之人”在直播表演、社交媒体及其他公开场合的行为，或发表的涉及公共利益（如价值观引导、社会议题等）的言论；2.针对虚拟偶像的公开表演水平、作品质量、职业道德（如履约情况、演出态度）等与公共服务或职业活动相关的事实进行的理性批评；3.虚拟偶像对其代言产品、商业推广、运营模式等商业活动的真实性、合法性及社会影响，媒体和公众可进行正当的舆论监督。 </w:t>
      </w:r>
    </w:p>
    <w:p w14:paraId="01D5BF11">
      <w:pPr>
        <w:numPr>
          <w:ilvl w:val="0"/>
          <w:numId w:val="0"/>
        </w:numPr>
        <w:ind w:firstLine="480" w:firstLineChars="200"/>
        <w:rPr>
          <w:rFonts w:hint="default" w:ascii="等线 Light" w:hAnsi="等线 Light" w:eastAsia="等线 Light" w:cs="Times New Roman"/>
          <w:kern w:val="2"/>
          <w:sz w:val="24"/>
          <w:szCs w:val="24"/>
          <w:highlight w:val="none"/>
          <w:lang w:val="en-US" w:eastAsia="zh-CN" w:bidi="ar-SA"/>
        </w:rPr>
      </w:pPr>
      <w:r>
        <w:rPr>
          <w:rFonts w:hint="default" w:ascii="等线 Light" w:hAnsi="等线 Light" w:eastAsia="等线 Light" w:cs="Times New Roman"/>
          <w:kern w:val="2"/>
          <w:sz w:val="24"/>
          <w:szCs w:val="24"/>
          <w:highlight w:val="none"/>
          <w:lang w:val="en-US" w:eastAsia="zh-CN" w:bidi="ar-SA"/>
        </w:rPr>
        <w:t xml:space="preserve">表达方式上，应以不脱离事实、不侮辱人格为基本边界。尽管虚拟偶像并非法律意义上的民事主体，但若针对其发表的言论脱离事实依据，使用明显具有人格侮辱性的词汇，或捏造事实进行诽谤，符合《民法典》第一千零二十五条的“除外”条款情形的，此类言论已超出舆论监督的界限，具有违法性。具体而言应从以下角度进行识别：一看事实基础。正当的舆论监督应当建立在事实基础之上，即使针对“中之人”的言行进行评价监督，亦需指出具体的言行不当，而不能笼统进行攻击；二看用词选择。舆论监督应当理性、中立，使用明显具有贬损、侮辱性质的词汇，目的不在于理性讨论、合理评价，而在于人格贬损；三看语境背景。语境背景通常与动机关联，对于虚拟偶像这一特殊公众群体，其扮演者身份的公开与否是行为人动机的重要判断因素。从比较法的视角看，即使在美国这样对言论自由保护标准较高的国家，其司法实践也并非毫无边界，也在“沙利文案”（New York Times Co. v. Sullivan）确立了“实际恶意”原则。 </w:t>
      </w:r>
    </w:p>
    <w:p w14:paraId="382B5370">
      <w:pPr>
        <w:numPr>
          <w:ilvl w:val="0"/>
          <w:numId w:val="0"/>
        </w:numPr>
        <w:ind w:firstLine="480" w:firstLineChars="200"/>
        <w:rPr>
          <w:rFonts w:hint="default" w:ascii="等线 Light" w:hAnsi="等线 Light" w:eastAsia="等线 Light" w:cs="Times New Roman"/>
          <w:kern w:val="2"/>
          <w:sz w:val="24"/>
          <w:szCs w:val="24"/>
          <w:highlight w:val="none"/>
          <w:lang w:val="en-US" w:eastAsia="zh-CN" w:bidi="ar-SA"/>
        </w:rPr>
      </w:pPr>
      <w:r>
        <w:rPr>
          <w:rFonts w:hint="default" w:ascii="等线 Light" w:hAnsi="等线 Light" w:eastAsia="等线 Light" w:cs="Times New Roman"/>
          <w:kern w:val="2"/>
          <w:sz w:val="24"/>
          <w:szCs w:val="24"/>
          <w:highlight w:val="none"/>
          <w:lang w:val="en-US" w:eastAsia="zh-CN" w:bidi="ar-SA"/>
        </w:rPr>
        <w:t>该案中，被告历某某虽抗辩系针对虚拟偶像“某宝”的不当言行发表的舆论监督。但内容上，其所谓的不当言行仅是“中之人”陈某某在出道前就部分社会新闻所发表的个人意见。这些看法虽然可能引发争议，但本质上属于个人思想、观点和情感的表达范畴，与其作为虚拟偶像“某宝”的职业行为、产品质量、公共形象并无直接关联，并不属于前述“公共利益”范畴；表达上，即便“中之人”过往言论的讨论具有一定的公共性，案涉微博言论亦未围绕具体内容展开，缺乏事实依据，且使用了“太监、妓女、福利ji”等极度不恰当类比和极端侮辱性词汇，并选择在陈某某被“开盒”期间发表侮辱性言论，其时机选择本身暗示了不当动机，明显超出了舆论监督的合理边界。</w:t>
      </w:r>
    </w:p>
    <w:p w14:paraId="3082A11A">
      <w:pPr>
        <w:numPr>
          <w:ilvl w:val="0"/>
          <w:numId w:val="0"/>
        </w:numPr>
        <w:ind w:leftChars="0" w:firstLine="480" w:firstLineChars="200"/>
        <w:rPr>
          <w:rFonts w:hint="eastAsia" w:ascii="等线 Light" w:hAnsi="等线 Light" w:eastAsia="等线 Light" w:cs="Times New Roman"/>
          <w:b/>
          <w:bCs/>
          <w:kern w:val="2"/>
          <w:sz w:val="24"/>
          <w:szCs w:val="24"/>
          <w:highlight w:val="none"/>
          <w:lang w:val="en-US" w:eastAsia="zh-CN" w:bidi="ar-SA"/>
        </w:rPr>
      </w:pPr>
      <w:r>
        <w:rPr>
          <w:rFonts w:hint="eastAsia" w:ascii="等线 Light" w:hAnsi="等线 Light" w:eastAsia="等线 Light" w:cs="Times New Roman"/>
          <w:b/>
          <w:bCs/>
          <w:kern w:val="2"/>
          <w:sz w:val="24"/>
          <w:szCs w:val="24"/>
          <w:highlight w:val="none"/>
          <w:lang w:val="en-US" w:eastAsia="zh-CN" w:bidi="ar-SA"/>
        </w:rPr>
        <w:t>4、虚拟偶像侵权反向穿透保护的展望</w:t>
      </w:r>
    </w:p>
    <w:p w14:paraId="6BAE22C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480" w:firstLineChars="200"/>
        <w:jc w:val="both"/>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b/>
          <w:bCs/>
          <w:kern w:val="2"/>
          <w:sz w:val="24"/>
          <w:szCs w:val="24"/>
          <w:highlight w:val="none"/>
          <w:lang w:val="en-US" w:eastAsia="zh-CN" w:bidi="ar-SA"/>
        </w:rPr>
        <w:t>虚拟偶像与其扮演者“中之人”在法律架构及商业架构上相互独立。</w:t>
      </w:r>
      <w:r>
        <w:rPr>
          <w:rFonts w:hint="eastAsia" w:ascii="等线 Light" w:hAnsi="等线 Light" w:eastAsia="等线 Light" w:cs="Times New Roman"/>
          <w:kern w:val="2"/>
          <w:sz w:val="24"/>
          <w:szCs w:val="24"/>
          <w:highlight w:val="none"/>
          <w:lang w:val="en-US" w:eastAsia="zh-CN" w:bidi="ar-SA"/>
        </w:rPr>
        <w:t>前者作为由代码、美术形象和人格设定构成的“作品”集合，本质上是受法律保护的财产或无形资产；后者作为法律意义上的主体，享有独立人格权和财产权，其人格权受《民法典》的全面保护。实践中，为使虚拟偶像IP价值最大化且不受“中之人”个体变动的影响，运营公司多以合同约定、竞业限制等方式要求“中之人”身份保密，以虚拟偶像培育成一个独立品牌。然而，在情感联结和运营价值上，二者又深度融合、互相影响。虚拟偶像的受欢迎程度和商业价值很大程度取决于“中之人”独特的人格魅力、才艺与沟通能力等因素，可以说，虚拟偶像的成功塑造，是虚拟形象的“皮”与“中之人”魅力的“魂”共同作用的结果。这种深度绑定使得针对“中之人”的网络谣言、人格侮辱等侵权行为，亦会穿透法律构建的权利屏障，影响虚拟偶像的商业价值、粉丝情感和IP寿命。</w:t>
      </w:r>
    </w:p>
    <w:p w14:paraId="173423D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480" w:firstLineChars="200"/>
        <w:jc w:val="both"/>
        <w:rPr>
          <w:rFonts w:hint="eastAsia"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kern w:val="2"/>
          <w:sz w:val="24"/>
          <w:szCs w:val="24"/>
          <w:highlight w:val="none"/>
          <w:lang w:val="en-US" w:eastAsia="zh-CN" w:bidi="ar-SA"/>
        </w:rPr>
        <w:t>如该案中，网友在前“开盒”等侵权行为无疑系基于对“某宝”这一具有一定知名度虚拟偶像的关注或抹黑心理；反之，针对“中之人”陈某某的侵权言论，亦会影响虚拟偶像的形象价值及粉丝流量等，故陈某某于2024年10月10日晚，以“某宝”而非本人的身份进行直播回应。虽然该案中，陈某某仅主张个人名誉受损，但实践中针对“中之人”的侵权行为是否构成对虚拟偶像的侵权、应如何主张相应权利等前沿问题，亦是“虚拟数字人”产业发展面临的现实司法课题。</w:t>
      </w:r>
    </w:p>
    <w:p w14:paraId="045B8F6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480" w:firstLineChars="200"/>
        <w:jc w:val="both"/>
        <w:rPr>
          <w:rFonts w:hint="default" w:ascii="等线 Light" w:hAnsi="等线 Light" w:eastAsia="等线 Light" w:cs="Times New Roman"/>
          <w:kern w:val="2"/>
          <w:sz w:val="24"/>
          <w:szCs w:val="24"/>
          <w:highlight w:val="none"/>
          <w:lang w:val="en-US" w:eastAsia="zh-CN" w:bidi="ar-SA"/>
        </w:rPr>
      </w:pPr>
      <w:r>
        <w:rPr>
          <w:rFonts w:hint="eastAsia" w:ascii="等线 Light" w:hAnsi="等线 Light" w:eastAsia="等线 Light" w:cs="Times New Roman"/>
          <w:b/>
          <w:bCs/>
          <w:kern w:val="2"/>
          <w:sz w:val="24"/>
          <w:szCs w:val="24"/>
          <w:highlight w:val="none"/>
          <w:lang w:val="en-US" w:eastAsia="zh-CN" w:bidi="ar-SA"/>
        </w:rPr>
        <w:t>一方面，“中之人”的职业前景与虚拟偶像IP深度绑定，粉丝的情感寄托源于“中之人”通过虚拟形象所传递的人格魅力，一旦其声誉受损，会严重波及虚拟偶像的正常运营。</w:t>
      </w:r>
      <w:r>
        <w:rPr>
          <w:rFonts w:hint="eastAsia" w:ascii="等线 Light" w:hAnsi="等线 Light" w:eastAsia="等线 Light" w:cs="Times New Roman"/>
          <w:kern w:val="2"/>
          <w:sz w:val="24"/>
          <w:szCs w:val="24"/>
          <w:highlight w:val="none"/>
          <w:lang w:val="en-US" w:eastAsia="zh-CN" w:bidi="ar-SA"/>
        </w:rPr>
        <w:t>作为直接受害人，“中之人”不仅可依据《民法典》关于名誉权、隐私权等具体人格权的规定主张权利，还可依据《民法典》第一百七十九条的规定将因对其个人人格侵害造成虚拟偶像正面形象受损部分纳入“赔偿损失”；</w:t>
      </w:r>
      <w:r>
        <w:rPr>
          <w:rFonts w:hint="eastAsia" w:ascii="等线 Light" w:hAnsi="等线 Light" w:eastAsia="等线 Light" w:cs="Times New Roman"/>
          <w:b/>
          <w:bCs/>
          <w:kern w:val="2"/>
          <w:sz w:val="24"/>
          <w:szCs w:val="24"/>
          <w:highlight w:val="none"/>
          <w:lang w:val="en-US" w:eastAsia="zh-CN" w:bidi="ar-SA"/>
        </w:rPr>
        <w:t>另一方面，针对“中之人”的抹黑可能会导致虚拟偶像的完美人设崩塌，粉丝信任瓦解，甚至商业合作的解约、演出活动被迫中断，最终可能导致整个IP的商业价值急剧衰减。</w:t>
      </w:r>
      <w:r>
        <w:rPr>
          <w:rFonts w:hint="eastAsia" w:ascii="等线 Light" w:hAnsi="等线 Light" w:eastAsia="等线 Light" w:cs="Times New Roman"/>
          <w:kern w:val="2"/>
          <w:sz w:val="24"/>
          <w:szCs w:val="24"/>
          <w:highlight w:val="none"/>
          <w:lang w:val="en-US" w:eastAsia="zh-CN" w:bidi="ar-SA"/>
        </w:rPr>
        <w:t>运营公司可作为间接受害人，依据《反不正当竞争法》第十一条或《民法典》第一千零二十四条等主张商业信誉受损或预期利益损失等。</w:t>
      </w:r>
    </w:p>
    <w:p w14:paraId="5BFAD1EE">
      <w:pPr>
        <w:numPr>
          <w:ilvl w:val="0"/>
          <w:numId w:val="0"/>
        </w:numPr>
        <w:ind w:leftChars="0"/>
        <w:jc w:val="center"/>
        <w:rPr>
          <w:rFonts w:hint="eastAsia" w:ascii="等线 Light" w:hAnsi="等线 Light" w:eastAsia="等线 Light" w:cs="Times New Roman"/>
          <w:b/>
          <w:bCs/>
          <w:kern w:val="2"/>
          <w:sz w:val="24"/>
          <w:szCs w:val="24"/>
          <w:highlight w:val="none"/>
          <w:lang w:val="en-US" w:eastAsia="zh-CN" w:bidi="ar-SA"/>
        </w:rPr>
      </w:pPr>
      <w:r>
        <w:rPr>
          <w:rFonts w:hint="eastAsia" w:ascii="等线 Light" w:hAnsi="等线 Light" w:eastAsia="等线 Light" w:cs="Times New Roman"/>
          <w:b/>
          <w:bCs/>
          <w:kern w:val="2"/>
          <w:sz w:val="24"/>
          <w:szCs w:val="24"/>
          <w:highlight w:val="none"/>
          <w:lang w:val="en-US" w:eastAsia="zh-CN" w:bidi="ar-SA"/>
        </w:rPr>
        <w:t>结语</w:t>
      </w:r>
    </w:p>
    <w:p w14:paraId="268BD831">
      <w:pPr>
        <w:numPr>
          <w:ilvl w:val="0"/>
          <w:numId w:val="0"/>
        </w:numPr>
        <w:ind w:leftChars="0" w:firstLine="480" w:firstLineChars="200"/>
        <w:rPr>
          <w:rFonts w:hint="eastAsia" w:ascii="等线 Light" w:hAnsi="等线 Light" w:eastAsia="等线 Light" w:cs="Times New Roman"/>
          <w:kern w:val="2"/>
          <w:sz w:val="24"/>
          <w:szCs w:val="24"/>
          <w:highlight w:val="none"/>
          <w:lang w:val="en-US" w:eastAsia="zh-CN" w:bidi="ar-SA"/>
        </w:rPr>
      </w:pPr>
      <w:r>
        <w:rPr>
          <w:rFonts w:hint="default" w:ascii="等线 Light" w:hAnsi="等线 Light" w:eastAsia="等线 Light" w:cs="Times New Roman"/>
          <w:kern w:val="2"/>
          <w:sz w:val="24"/>
          <w:szCs w:val="24"/>
          <w:highlight w:val="none"/>
          <w:lang w:val="en-US" w:eastAsia="zh-CN" w:bidi="ar-SA"/>
        </w:rPr>
        <w:t>2025年5月，中央网信办首次专门出台《关于进一步加强“开盒”问题整治工作的通知》，要求微博、腾讯、抖音等重点平台以“零容忍”态度打击“开盒”乱象。该案判决通过确立“人格权穿透”的裁判规则、厘清公众人物舆论监督的边界，为隐藏在虚拟形象背后的从业者提供了法律保护。本案既有效保障公众对虚拟人设的合理监督，又防止网络暴力借“虚拟外衣”侵害自然人人格权，有力保护广大虚拟形象扮演者“中之人”的切身利益，推动产业在有序中发展，对同类案件裁判提供参考，这对于促进虚拟经济的健康发展，构建清朗有序的网络空间，具有现实意义。</w:t>
      </w:r>
    </w:p>
    <w:p w14:paraId="1EE07F29">
      <w:pPr>
        <w:spacing w:line="360" w:lineRule="auto"/>
        <w:rPr>
          <w:rFonts w:hint="default" w:ascii="等线 Light" w:hAnsi="等线 Light" w:eastAsia="等线 Light" w:cs="Times New Roman"/>
          <w:sz w:val="24"/>
          <w:highlight w:val="none"/>
          <w:lang w:val="en-US"/>
        </w:rPr>
        <w:sectPr>
          <w:footerReference r:id="rId5" w:type="default"/>
          <w:pgSz w:w="11906" w:h="16838"/>
          <w:pgMar w:top="1440" w:right="1800" w:bottom="1440" w:left="1800" w:header="851" w:footer="1020" w:gutter="0"/>
          <w:pgNumType w:start="1"/>
          <w:cols w:space="425" w:num="1"/>
          <w:docGrid w:type="lines" w:linePitch="312" w:charSpace="0"/>
        </w:sectPr>
      </w:pPr>
      <w:r>
        <w:rPr>
          <w:rFonts w:hint="eastAsia" w:ascii="等线 Light" w:hAnsi="等线 Light" w:eastAsia="等线 Light" w:cs="Times New Roman"/>
          <w:sz w:val="24"/>
          <w:highlight w:val="none"/>
          <w:lang w:val="en-US" w:eastAsia="zh-CN"/>
        </w:rPr>
        <w:t>来源：广州互联网法院微信公众号</w:t>
      </w:r>
    </w:p>
    <w:p w14:paraId="411F7CD1">
      <w:pPr>
        <w:keepNext/>
        <w:keepLines/>
        <w:spacing w:before="340" w:after="330" w:line="576" w:lineRule="auto"/>
        <w:outlineLvl w:val="0"/>
        <w:rPr>
          <w:rFonts w:ascii="等线 Light" w:hAnsi="等线 Light" w:eastAsia="等线 Light"/>
          <w:b/>
          <w:bCs/>
          <w:kern w:val="44"/>
          <w:sz w:val="44"/>
          <w:szCs w:val="44"/>
        </w:rPr>
      </w:pPr>
      <w:bookmarkStart w:id="11" w:name="_Toc1108539955"/>
      <w:r>
        <w:rPr>
          <w:rFonts w:hint="eastAsia" w:ascii="等线 Light" w:hAnsi="等线 Light" w:eastAsia="等线 Light"/>
          <w:b/>
          <w:bCs/>
          <w:kern w:val="44"/>
          <w:sz w:val="44"/>
          <w:szCs w:val="44"/>
        </w:rPr>
        <w:t>影视传媒委简介</w:t>
      </w:r>
      <w:bookmarkEnd w:id="11"/>
    </w:p>
    <w:p w14:paraId="5EA3F6D8">
      <w:pPr>
        <w:keepNext/>
        <w:keepLines/>
        <w:spacing w:before="260" w:after="260" w:line="415" w:lineRule="auto"/>
        <w:outlineLvl w:val="1"/>
        <w:rPr>
          <w:rFonts w:ascii="等线 Light" w:hAnsi="等线 Light" w:eastAsia="等线 Light"/>
          <w:b/>
          <w:bCs/>
          <w:sz w:val="32"/>
          <w:szCs w:val="32"/>
        </w:rPr>
      </w:pPr>
      <w:bookmarkStart w:id="12" w:name="_Toc24353"/>
      <w:bookmarkStart w:id="13" w:name="_Toc1810385960"/>
      <w:r>
        <w:rPr>
          <w:rFonts w:hint="eastAsia" w:ascii="等线 Light" w:hAnsi="等线 Light" w:eastAsia="等线 Light" w:cs="Times New Roman"/>
          <w:b/>
          <w:bCs/>
          <w:sz w:val="32"/>
          <w:szCs w:val="32"/>
        </w:rPr>
        <w:t>深圳市律师协会影视传媒法律专业委员会</w:t>
      </w:r>
      <w:bookmarkEnd w:id="12"/>
      <w:bookmarkEnd w:id="13"/>
    </w:p>
    <w:p w14:paraId="45A6B6F6">
      <w:pPr>
        <w:widowControl/>
        <w:spacing w:line="460" w:lineRule="exact"/>
        <w:ind w:firstLine="480" w:firstLineChars="200"/>
        <w:jc w:val="left"/>
        <w:rPr>
          <w:rFonts w:ascii="等线 Light" w:hAnsi="等线 Light" w:eastAsia="等线 Light" w:cs="仿宋"/>
          <w:kern w:val="0"/>
          <w:sz w:val="24"/>
        </w:rPr>
      </w:pPr>
      <w:r>
        <w:rPr>
          <w:rFonts w:hint="eastAsia" w:ascii="等线 Light" w:hAnsi="等线 Light" w:eastAsia="等线 Light" w:cs="仿宋"/>
          <w:kern w:val="0"/>
          <w:sz w:val="24"/>
        </w:rPr>
        <w:t>律协各专业委员会是律协理事会根据律师业务的发展情况设置的负责组织会员进行学习和交流，指导律师开展业务活动的机构。其宗旨是发动会员积极学习专业知识，提高律师业务素质和服务水平，拓展律师业务领域，促进律师专业化分工，增强深圳律师的整体实力。</w:t>
      </w:r>
    </w:p>
    <w:p w14:paraId="3A872A75">
      <w:pPr>
        <w:widowControl/>
        <w:spacing w:line="460" w:lineRule="exact"/>
        <w:ind w:firstLine="480" w:firstLineChars="200"/>
        <w:jc w:val="left"/>
        <w:rPr>
          <w:rFonts w:hint="eastAsia" w:ascii="等线 Light" w:hAnsi="等线 Light" w:eastAsia="等线 Light" w:cs="仿宋"/>
          <w:kern w:val="0"/>
          <w:sz w:val="24"/>
        </w:rPr>
      </w:pPr>
      <w:r>
        <w:rPr>
          <w:rFonts w:hint="eastAsia" w:ascii="等线 Light" w:hAnsi="等线 Light" w:eastAsia="等线 Light" w:cs="仿宋"/>
          <w:kern w:val="0"/>
          <w:sz w:val="24"/>
        </w:rPr>
        <w:t>根据深圳市律师协会第十一届会长会、理事会审议通过，市律协设立66个专业委员会，影视传媒法律专业委员会是其中之一，本委员会致力于提高律师影视传媒法律服务水平，拓展影视传媒业务领域,撰写有关影视传媒法律专业论文，积极参与人大、政府的影视传媒法律领域重要法律法规和司法解释的征求意见工作。</w:t>
      </w:r>
    </w:p>
    <w:p w14:paraId="2F3C4EDC">
      <w:pPr>
        <w:widowControl/>
        <w:spacing w:line="460" w:lineRule="exact"/>
        <w:ind w:firstLine="480" w:firstLineChars="200"/>
        <w:jc w:val="left"/>
        <w:rPr>
          <w:rFonts w:hint="eastAsia" w:ascii="等线 Light" w:hAnsi="等线 Light" w:eastAsia="等线 Light" w:cs="仿宋"/>
          <w:kern w:val="0"/>
          <w:sz w:val="24"/>
        </w:rPr>
      </w:pPr>
    </w:p>
    <w:p w14:paraId="037EE62B">
      <w:pPr>
        <w:rPr>
          <w:rFonts w:ascii="等线 Light" w:hAnsi="等线 Light" w:eastAsia="等线 Light" w:cs="Times New Roman"/>
          <w:szCs w:val="22"/>
        </w:rPr>
      </w:pPr>
      <w:r>
        <w:rPr>
          <w:rFonts w:ascii="等线 Light" w:hAnsi="等线 Light" w:eastAsia="等线 Light" w:cs="Times New Roman"/>
          <w:b/>
          <w:bCs/>
          <w:sz w:val="32"/>
          <w:szCs w:val="32"/>
        </w:rPr>
        <w:t>组成成员及联系方式</w:t>
      </w:r>
      <w:r>
        <w:rPr>
          <w:rFonts w:hint="eastAsia" w:ascii="等线 Light" w:hAnsi="等线 Light" w:eastAsia="等线 Light" w:cs="Times New Roman"/>
          <w:szCs w:val="22"/>
        </w:rPr>
        <w:t xml:space="preserve">（28名委员、3名干事） </w:t>
      </w:r>
    </w:p>
    <w:p w14:paraId="297AE868">
      <w:pPr>
        <w:spacing w:line="460" w:lineRule="exact"/>
        <w:ind w:firstLine="480" w:firstLineChars="200"/>
        <w:rPr>
          <w:rFonts w:ascii="等线 Light" w:hAnsi="等线 Light" w:eastAsia="等线 Light" w:cs="Times New Roman"/>
          <w:sz w:val="24"/>
        </w:rPr>
      </w:pPr>
      <w:r>
        <w:rPr>
          <w:rFonts w:hint="eastAsia" w:ascii="等线 Light" w:hAnsi="等线 Light" w:eastAsia="等线 Light" w:cs="Times New Roman"/>
          <w:sz w:val="24"/>
        </w:rPr>
        <w:t>主任：刘玉红（盈科所）</w:t>
      </w:r>
    </w:p>
    <w:p w14:paraId="2F09512A">
      <w:pPr>
        <w:spacing w:line="460" w:lineRule="exact"/>
        <w:ind w:firstLine="480" w:firstLineChars="200"/>
        <w:rPr>
          <w:rFonts w:ascii="等线 Light" w:hAnsi="等线 Light" w:eastAsia="等线 Light" w:cs="Times New Roman"/>
          <w:sz w:val="24"/>
        </w:rPr>
      </w:pPr>
      <w:r>
        <w:rPr>
          <w:rFonts w:hint="eastAsia" w:ascii="等线 Light" w:hAnsi="等线 Light" w:eastAsia="等线 Light" w:cs="Times New Roman"/>
          <w:sz w:val="24"/>
        </w:rPr>
        <w:t>副主任：李静仪（星辰所）、张旭（万商天勤所）</w:t>
      </w:r>
    </w:p>
    <w:p w14:paraId="0F7FAF7B">
      <w:pPr>
        <w:spacing w:line="460" w:lineRule="exact"/>
        <w:ind w:firstLine="480" w:firstLineChars="200"/>
        <w:rPr>
          <w:rFonts w:ascii="等线 Light" w:hAnsi="等线 Light" w:eastAsia="等线 Light" w:cs="Times New Roman"/>
          <w:sz w:val="24"/>
        </w:rPr>
      </w:pPr>
      <w:r>
        <w:rPr>
          <w:rFonts w:hint="eastAsia" w:ascii="等线 Light" w:hAnsi="等线 Light" w:eastAsia="等线 Light" w:cs="Times New Roman"/>
          <w:sz w:val="24"/>
        </w:rPr>
        <w:t>秘书长：蔡晓瑜（连越所）</w:t>
      </w:r>
    </w:p>
    <w:p w14:paraId="1807F8A5">
      <w:pPr>
        <w:spacing w:line="460" w:lineRule="exact"/>
        <w:ind w:firstLine="480" w:firstLineChars="200"/>
        <w:rPr>
          <w:rFonts w:ascii="等线 Light" w:hAnsi="等线 Light" w:eastAsia="等线 Light" w:cs="Times New Roman"/>
          <w:sz w:val="24"/>
        </w:rPr>
      </w:pPr>
      <w:r>
        <w:rPr>
          <w:rFonts w:hint="eastAsia" w:ascii="等线 Light" w:hAnsi="等线 Light" w:eastAsia="等线 Light" w:cs="Times New Roman"/>
          <w:sz w:val="24"/>
        </w:rPr>
        <w:t>副秘书长：蒋艳（信达所）、冯云鹏（辰讯所）</w:t>
      </w:r>
    </w:p>
    <w:p w14:paraId="31CC71A5">
      <w:pPr>
        <w:spacing w:line="460" w:lineRule="exact"/>
        <w:ind w:firstLine="480" w:firstLineChars="200"/>
        <w:rPr>
          <w:rFonts w:ascii="等线 Light" w:hAnsi="等线 Light" w:eastAsia="等线 Light" w:cs="Times New Roman"/>
          <w:sz w:val="24"/>
        </w:rPr>
      </w:pPr>
      <w:r>
        <w:rPr>
          <w:rFonts w:hint="eastAsia" w:ascii="等线 Light" w:hAnsi="等线 Light" w:eastAsia="等线 Light" w:cs="Times New Roman"/>
          <w:sz w:val="24"/>
        </w:rPr>
        <w:t>委员：王丹丹（京师所）、石广璐（泰和泰所）、朱洲（鹏浩所）、李文建（厚道所）、杨小丽（中闻所）、张萍（知恒所）、孟昕（嘉得信所）、袁韶浦（华商所）、刘鹏云（泰和泰所）、李露欢（君泽君所）、黄丹丹（深湾所）、张颖（金诚同达所）、余涛（锦天城所）、彭英武（道可特所）、胡绵惠（邦燊所）、容文豪（辰耀所）、杨博（数科所）、何世琳（德恒所）、冯利（广和所）、梅树玮（德和衡所）、萧璐（泰和泰）、谭笑添（德恒）</w:t>
      </w:r>
    </w:p>
    <w:p w14:paraId="19F28AB4">
      <w:pPr>
        <w:spacing w:line="460" w:lineRule="exact"/>
        <w:ind w:firstLine="480" w:firstLineChars="200"/>
        <w:rPr>
          <w:rFonts w:ascii="等线 Light" w:hAnsi="等线 Light" w:eastAsia="等线 Light" w:cs="Times New Roman"/>
          <w:sz w:val="24"/>
        </w:rPr>
      </w:pPr>
      <w:r>
        <w:rPr>
          <w:rFonts w:hint="eastAsia" w:ascii="等线 Light" w:hAnsi="等线 Light" w:eastAsia="等线 Light" w:cs="Times New Roman"/>
          <w:sz w:val="24"/>
        </w:rPr>
        <w:t>干事：朱小环(中闻所）、陈雅馨（万商天勤所）、谢新乐（盈科所）</w:t>
      </w:r>
    </w:p>
    <w:p w14:paraId="35B6ACDD">
      <w:pPr>
        <w:spacing w:line="460" w:lineRule="exact"/>
        <w:ind w:firstLine="480" w:firstLineChars="200"/>
        <w:rPr>
          <w:rFonts w:ascii="等线 Light" w:hAnsi="等线 Light" w:eastAsia="等线 Light" w:cs="Times New Roman"/>
          <w:sz w:val="24"/>
        </w:rPr>
      </w:pPr>
      <w:r>
        <w:rPr>
          <w:rFonts w:hint="eastAsia" w:ascii="等线 Light" w:hAnsi="等线 Light" w:eastAsia="等线 Light" w:cs="Times New Roman"/>
          <w:sz w:val="24"/>
        </w:rPr>
        <w:t>——本资讯由深圳市律师协会影视传媒法律专业委员会搜集整理（相关著作权归原权利人所有）</w:t>
      </w:r>
    </w:p>
    <w:p w14:paraId="60B419AF">
      <w:pPr>
        <w:spacing w:line="460" w:lineRule="exact"/>
        <w:ind w:firstLine="480" w:firstLineChars="200"/>
        <w:rPr>
          <w:rFonts w:ascii="等线 Light" w:hAnsi="等线 Light" w:eastAsia="等线 Light" w:cs="Times New Roman"/>
          <w:sz w:val="24"/>
        </w:rPr>
      </w:pPr>
      <w:r>
        <w:rPr>
          <w:rFonts w:hint="eastAsia" w:ascii="等线 Light" w:hAnsi="等线 Light" w:eastAsia="等线 Light" w:cs="Times New Roman"/>
          <w:sz w:val="24"/>
        </w:rPr>
        <w:t>本资讯可在深圳市律师协会网站下载，投稿及建议联系邮箱：gdlycxy@163.com（蔡晓瑜律师）</w:t>
      </w:r>
    </w:p>
    <w:sectPr>
      <w:pgSz w:w="11906" w:h="16838"/>
      <w:pgMar w:top="1440" w:right="1800" w:bottom="1440" w:left="1800" w:header="851" w:footer="1020"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华文新魏">
    <w:altName w:val="宋体"/>
    <w:panose1 w:val="02010800040101010101"/>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华文行楷">
    <w:altName w:val="微软雅黑"/>
    <w:panose1 w:val="02010800040101010101"/>
    <w:charset w:val="86"/>
    <w:family w:val="auto"/>
    <w:pitch w:val="default"/>
    <w:sig w:usb0="00000000" w:usb1="00000000" w:usb2="00000010" w:usb3="00000000" w:csb0="00040000"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D2D44">
    <w:pPr>
      <w:pStyle w:val="5"/>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942FE">
    <w:pPr>
      <w:pStyle w:val="5"/>
      <w:jc w:val="right"/>
      <w:rPr>
        <w:sz w:val="15"/>
      </w:rPr>
    </w:pPr>
    <w:r>
      <w:rPr>
        <w:sz w:val="15"/>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654FF0C">
                          <w:pPr>
                            <w:pStyle w:val="5"/>
                          </w:pPr>
                          <w:r>
                            <w:fldChar w:fldCharType="begin"/>
                          </w:r>
                          <w:r>
                            <w:instrText xml:space="preserve"> PAGE  \* MERGEFORMAT </w:instrText>
                          </w:r>
                          <w:r>
                            <w:fldChar w:fldCharType="separate"/>
                          </w:r>
                          <w:r>
                            <w:t>1</w:t>
                          </w:r>
                          <w:r>
                            <w:fldChar w:fldCharType="end"/>
                          </w:r>
                        </w:p>
                      </w:txbxContent>
                    </wps:txbx>
                    <wps:bodyPr vert="horz" wrap="none" lIns="0" tIns="0" rIns="0" bIns="0" anchor="t">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GVGDskBAACSAwAADgAAAAAAAAABACAAAAAfAQAAZHJzL2Uyb0Rv&#10;Yy54bWxQSwUGAAAAAAYABgBZAQAAWgUAAAAA&#10;">
              <v:fill on="f" focussize="0,0"/>
              <v:stroke on="f"/>
              <v:imagedata o:title=""/>
              <o:lock v:ext="edit" aspectratio="f"/>
              <v:textbox inset="0mm,0mm,0mm,0mm" style="mso-fit-shape-to-text:t;">
                <w:txbxContent>
                  <w:p w14:paraId="0654FF0C">
                    <w:pPr>
                      <w:pStyle w:val="5"/>
                    </w:pPr>
                    <w:r>
                      <w:fldChar w:fldCharType="begin"/>
                    </w:r>
                    <w:r>
                      <w:instrText xml:space="preserve"> PAGE  \* MERGEFORMAT </w:instrText>
                    </w:r>
                    <w:r>
                      <w:fldChar w:fldCharType="separate"/>
                    </w:r>
                    <w:r>
                      <w:t>1</w:t>
                    </w:r>
                    <w: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BA9D9">
    <w:pPr>
      <w:pStyle w:val="6"/>
      <w:jc w:val="right"/>
      <w:rPr>
        <w:rFonts w:ascii="仿宋" w:hAnsi="仿宋" w:eastAsia="仿宋" w:cs="仿宋"/>
      </w:rPr>
    </w:pPr>
    <w:r>
      <w:rPr>
        <w:rFonts w:hint="eastAsia" w:ascii="仿宋" w:hAnsi="仿宋" w:eastAsia="仿宋" w:cs="仿宋"/>
      </w:rPr>
      <w:t>《影视传媒法律资讯》</w:t>
    </w:r>
  </w:p>
  <w:p w14:paraId="7DDE2025">
    <w:pPr>
      <w:pStyle w:val="6"/>
      <w:jc w:val="right"/>
    </w:pPr>
    <w:r>
      <mc:AlternateContent>
        <mc:Choice Requires="wps">
          <w:drawing>
            <wp:anchor distT="0" distB="0" distL="114300" distR="114300" simplePos="0" relativeHeight="251660288" behindDoc="1" locked="0" layoutInCell="1" allowOverlap="1">
              <wp:simplePos x="0" y="0"/>
              <wp:positionH relativeFrom="margin">
                <wp:align>center</wp:align>
              </wp:positionH>
              <wp:positionV relativeFrom="margin">
                <wp:align>center</wp:align>
              </wp:positionV>
              <wp:extent cx="6656705" cy="801370"/>
              <wp:effectExtent l="0" t="2028825" r="0" b="2046605"/>
              <wp:wrapNone/>
              <wp:docPr id="3" name="409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noChangeShapeType="1" noTextEdit="1"/>
                    </wps:cNvSpPr>
                    <wps:spPr bwMode="auto">
                      <a:xfrm rot="-2700000">
                        <a:off x="0" y="0"/>
                        <a:ext cx="6656705" cy="801370"/>
                      </a:xfrm>
                      <a:prstGeom prst="rect">
                        <a:avLst/>
                      </a:prstGeom>
                    </wps:spPr>
                    <wps:txbx>
                      <w:txbxContent>
                        <w:p w14:paraId="7ECA79A3">
                          <w:pPr>
                            <w:jc w:val="center"/>
                            <w:rPr>
                              <w:kern w:val="0"/>
                              <w:sz w:val="24"/>
                            </w:rPr>
                          </w:pPr>
                          <w:r>
                            <w:rPr>
                              <w:rFonts w:hint="eastAsia" w:ascii="华文行楷" w:eastAsia="华文行楷"/>
                              <w:color w:val="C0C0C0"/>
                              <w:sz w:val="72"/>
                              <w:szCs w:val="72"/>
                              <w14:textFill>
                                <w14:solidFill>
                                  <w14:srgbClr w14:val="C0C0C0">
                                    <w14:alpha w14:val="50000"/>
                                  </w14:srgbClr>
                                </w14:solidFill>
                              </w14:textFill>
                            </w:rPr>
                            <w:t>影视传媒委法律资讯</w:t>
                          </w:r>
                        </w:p>
                      </w:txbxContent>
                    </wps:txbx>
                    <wps:bodyPr wrap="square" numCol="1" fromWordArt="1">
                      <a:prstTxWarp prst="textPlain">
                        <a:avLst>
                          <a:gd name="adj" fmla="val 50000"/>
                        </a:avLst>
                      </a:prstTxWarp>
                      <a:spAutoFit/>
                    </wps:bodyPr>
                  </wps:wsp>
                </a:graphicData>
              </a:graphic>
            </wp:anchor>
          </w:drawing>
        </mc:Choice>
        <mc:Fallback>
          <w:pict>
            <v:shape id="4097" o:spid="_x0000_s1026" o:spt="202" type="#_x0000_t202" style="position:absolute;left:0pt;height:63.1pt;width:524.15pt;mso-position-horizontal:center;mso-position-horizontal-relative:margin;mso-position-vertical:center;mso-position-vertical-relative:margin;rotation:-2949120f;z-index:-251656192;mso-width-relative:page;mso-height-relative:page;" filled="f" stroked="f" coordsize="21600,21600" o:gfxdata="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H0KBrrUAAAABgEAAA8A&#10;AAAAAAAAAQAgAAAAIgAAAGRycy9kb3ducmV2LnhtbFBLAQIUABQAAAAIAIdO4kArdxhfGwIAAEQE&#10;AAAOAAAAAAAAAAEAIAAAACMBAABkcnMvZTJvRG9jLnhtbFBLBQYAAAAABgAGAFkBAACwBQAAAAA=&#10;" adj="10800">
              <v:fill on="f" focussize="0,0"/>
              <v:stroke on="f"/>
              <v:imagedata o:title=""/>
              <o:lock v:ext="edit" text="t" aspectratio="t"/>
              <v:textbox style="mso-fit-shape-to-text:t;">
                <w:txbxContent>
                  <w:p w14:paraId="7ECA79A3">
                    <w:pPr>
                      <w:jc w:val="center"/>
                      <w:rPr>
                        <w:kern w:val="0"/>
                        <w:sz w:val="24"/>
                      </w:rPr>
                    </w:pPr>
                    <w:r>
                      <w:rPr>
                        <w:rFonts w:hint="eastAsia" w:ascii="华文行楷" w:eastAsia="华文行楷"/>
                        <w:color w:val="C0C0C0"/>
                        <w:sz w:val="72"/>
                        <w:szCs w:val="72"/>
                        <w14:textFill>
                          <w14:solidFill>
                            <w14:srgbClr w14:val="C0C0C0">
                              <w14:alpha w14:val="50000"/>
                            </w14:srgbClr>
                          </w14:solidFill>
                        </w14:textFill>
                      </w:rPr>
                      <w:t>影视传媒委法律资讯</w:t>
                    </w:r>
                  </w:p>
                </w:txbxContent>
              </v:textbox>
            </v:shape>
          </w:pict>
        </mc:Fallback>
      </mc:AlternateContent>
    </w:r>
    <w:r>
      <w:rPr>
        <w:rFonts w:hint="eastAsia" w:ascii="仿宋" w:hAnsi="仿宋" w:eastAsia="仿宋" w:cs="仿宋"/>
      </w:rPr>
      <w:t>202</w:t>
    </w:r>
    <w:r>
      <w:rPr>
        <w:rFonts w:hint="eastAsia" w:ascii="仿宋" w:hAnsi="仿宋" w:eastAsia="仿宋" w:cs="仿宋"/>
        <w:lang w:val="en-US" w:eastAsia="zh-CN"/>
      </w:rPr>
      <w:t>6</w:t>
    </w:r>
    <w:r>
      <w:rPr>
        <w:rFonts w:hint="eastAsia" w:ascii="仿宋" w:hAnsi="仿宋" w:eastAsia="仿宋" w:cs="仿宋"/>
      </w:rPr>
      <w:t>年</w:t>
    </w:r>
    <w:r>
      <w:rPr>
        <w:rFonts w:hint="eastAsia" w:ascii="仿宋" w:hAnsi="仿宋" w:eastAsia="仿宋" w:cs="仿宋"/>
        <w:lang w:val="en-US" w:eastAsia="zh-CN"/>
      </w:rPr>
      <w:t>2</w:t>
    </w:r>
    <w:r>
      <w:rPr>
        <w:rFonts w:hint="eastAsia" w:ascii="仿宋" w:hAnsi="仿宋" w:eastAsia="仿宋" w:cs="仿宋"/>
      </w:rPr>
      <w:t>月号总第4</w:t>
    </w:r>
    <w:r>
      <w:rPr>
        <w:rFonts w:hint="eastAsia" w:ascii="仿宋" w:hAnsi="仿宋" w:eastAsia="仿宋" w:cs="仿宋"/>
        <w:lang w:val="en-US" w:eastAsia="zh-CN"/>
      </w:rPr>
      <w:t>8</w:t>
    </w:r>
    <w:r>
      <w:rPr>
        <w:rFonts w:hint="eastAsia" w:ascii="仿宋" w:hAnsi="仿宋" w:eastAsia="仿宋" w:cs="仿宋"/>
      </w:rPr>
      <w:t>期</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E464F2"/>
    <w:multiLevelType w:val="singleLevel"/>
    <w:tmpl w:val="E3E464F2"/>
    <w:lvl w:ilvl="0" w:tentative="0">
      <w:start w:val="1"/>
      <w:numFmt w:val="chineseCounting"/>
      <w:suff w:val="nothing"/>
      <w:lvlText w:val="%1、"/>
      <w:lvlJc w:val="left"/>
      <w:rPr>
        <w:rFonts w:hint="eastAsia"/>
      </w:rPr>
    </w:lvl>
  </w:abstractNum>
  <w:abstractNum w:abstractNumId="1">
    <w:nsid w:val="1426423F"/>
    <w:multiLevelType w:val="singleLevel"/>
    <w:tmpl w:val="1426423F"/>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4E2C"/>
    <w:rsid w:val="00017459"/>
    <w:rsid w:val="0015452D"/>
    <w:rsid w:val="00333196"/>
    <w:rsid w:val="003336D9"/>
    <w:rsid w:val="003B7714"/>
    <w:rsid w:val="00531943"/>
    <w:rsid w:val="00533508"/>
    <w:rsid w:val="00581D8A"/>
    <w:rsid w:val="00724E2C"/>
    <w:rsid w:val="008D2CF8"/>
    <w:rsid w:val="009B3F31"/>
    <w:rsid w:val="009E2B9C"/>
    <w:rsid w:val="00A42EA6"/>
    <w:rsid w:val="00A502F6"/>
    <w:rsid w:val="00AF7EA7"/>
    <w:rsid w:val="00D249DC"/>
    <w:rsid w:val="00F05477"/>
    <w:rsid w:val="00FB0F96"/>
    <w:rsid w:val="01C74429"/>
    <w:rsid w:val="04357D70"/>
    <w:rsid w:val="07752CF0"/>
    <w:rsid w:val="07D57174"/>
    <w:rsid w:val="099E0166"/>
    <w:rsid w:val="0A232419"/>
    <w:rsid w:val="0B5D195B"/>
    <w:rsid w:val="0B655FB4"/>
    <w:rsid w:val="0B837613"/>
    <w:rsid w:val="0CA1581F"/>
    <w:rsid w:val="0DE40111"/>
    <w:rsid w:val="0DFC36AD"/>
    <w:rsid w:val="0E2F12B5"/>
    <w:rsid w:val="0E946FD3"/>
    <w:rsid w:val="0EB65F51"/>
    <w:rsid w:val="0FDD19F6"/>
    <w:rsid w:val="110C1E59"/>
    <w:rsid w:val="132507D3"/>
    <w:rsid w:val="142B6A9A"/>
    <w:rsid w:val="167C182F"/>
    <w:rsid w:val="1783099B"/>
    <w:rsid w:val="17EF4CD8"/>
    <w:rsid w:val="191915B7"/>
    <w:rsid w:val="193006AE"/>
    <w:rsid w:val="1A824F3A"/>
    <w:rsid w:val="1ADA4D76"/>
    <w:rsid w:val="1B9413C8"/>
    <w:rsid w:val="1BF73705"/>
    <w:rsid w:val="1CCF0200"/>
    <w:rsid w:val="1DBE097F"/>
    <w:rsid w:val="1EEE0D7C"/>
    <w:rsid w:val="208A4B48"/>
    <w:rsid w:val="20BB11A5"/>
    <w:rsid w:val="21663B7F"/>
    <w:rsid w:val="22FF35CB"/>
    <w:rsid w:val="230F216D"/>
    <w:rsid w:val="23A91789"/>
    <w:rsid w:val="240115C5"/>
    <w:rsid w:val="263B7010"/>
    <w:rsid w:val="26B5751A"/>
    <w:rsid w:val="278F67EF"/>
    <w:rsid w:val="279938C3"/>
    <w:rsid w:val="299B1B74"/>
    <w:rsid w:val="29AF561F"/>
    <w:rsid w:val="2AC670C5"/>
    <w:rsid w:val="2BB37649"/>
    <w:rsid w:val="2BCBB9A1"/>
    <w:rsid w:val="2BD575BF"/>
    <w:rsid w:val="2CC31B0E"/>
    <w:rsid w:val="2DAA4A7C"/>
    <w:rsid w:val="2E0C4DEE"/>
    <w:rsid w:val="2F585F08"/>
    <w:rsid w:val="2F594063"/>
    <w:rsid w:val="330B7D6A"/>
    <w:rsid w:val="351D1FD7"/>
    <w:rsid w:val="35727C2D"/>
    <w:rsid w:val="35CD7559"/>
    <w:rsid w:val="37117919"/>
    <w:rsid w:val="37FED07A"/>
    <w:rsid w:val="386808FA"/>
    <w:rsid w:val="38910D12"/>
    <w:rsid w:val="3B005CDB"/>
    <w:rsid w:val="3B0A6B5A"/>
    <w:rsid w:val="3C2F4ACD"/>
    <w:rsid w:val="3D015D3A"/>
    <w:rsid w:val="400C6ED0"/>
    <w:rsid w:val="409018AF"/>
    <w:rsid w:val="41A53138"/>
    <w:rsid w:val="42935686"/>
    <w:rsid w:val="46B856BC"/>
    <w:rsid w:val="475C698F"/>
    <w:rsid w:val="4BC32B39"/>
    <w:rsid w:val="4CBE1552"/>
    <w:rsid w:val="4CD34FFD"/>
    <w:rsid w:val="4F912F4E"/>
    <w:rsid w:val="50974DCF"/>
    <w:rsid w:val="50A56CB1"/>
    <w:rsid w:val="50F96FFC"/>
    <w:rsid w:val="51355098"/>
    <w:rsid w:val="53DEC1A1"/>
    <w:rsid w:val="54B35714"/>
    <w:rsid w:val="55CC368F"/>
    <w:rsid w:val="561A5A4B"/>
    <w:rsid w:val="56682C5A"/>
    <w:rsid w:val="57EDA3BB"/>
    <w:rsid w:val="58DE2E5D"/>
    <w:rsid w:val="5AD36B10"/>
    <w:rsid w:val="5E39312E"/>
    <w:rsid w:val="5FCF63A1"/>
    <w:rsid w:val="5FF0FE4F"/>
    <w:rsid w:val="61860438"/>
    <w:rsid w:val="63510202"/>
    <w:rsid w:val="64436AB5"/>
    <w:rsid w:val="645FE9D8"/>
    <w:rsid w:val="646A4041"/>
    <w:rsid w:val="64F658D5"/>
    <w:rsid w:val="659A2704"/>
    <w:rsid w:val="666D606B"/>
    <w:rsid w:val="66CD08B8"/>
    <w:rsid w:val="6770208F"/>
    <w:rsid w:val="67BE30B2"/>
    <w:rsid w:val="67FBE90B"/>
    <w:rsid w:val="685F7C35"/>
    <w:rsid w:val="68C81889"/>
    <w:rsid w:val="69F525FF"/>
    <w:rsid w:val="6A2904FB"/>
    <w:rsid w:val="6AE54422"/>
    <w:rsid w:val="6BFFE04B"/>
    <w:rsid w:val="6C9003BD"/>
    <w:rsid w:val="6E902A69"/>
    <w:rsid w:val="6F0926A9"/>
    <w:rsid w:val="6FC93CE7"/>
    <w:rsid w:val="6FEECBC5"/>
    <w:rsid w:val="6FFE451F"/>
    <w:rsid w:val="6FFF25E1"/>
    <w:rsid w:val="70666005"/>
    <w:rsid w:val="70B36D70"/>
    <w:rsid w:val="72F9A3F4"/>
    <w:rsid w:val="740F0761"/>
    <w:rsid w:val="749312CB"/>
    <w:rsid w:val="755B1D92"/>
    <w:rsid w:val="76AF1D88"/>
    <w:rsid w:val="77A15B74"/>
    <w:rsid w:val="77CFCA21"/>
    <w:rsid w:val="77FC2BAB"/>
    <w:rsid w:val="790F6B0E"/>
    <w:rsid w:val="79D21669"/>
    <w:rsid w:val="7A684727"/>
    <w:rsid w:val="7A7C01D3"/>
    <w:rsid w:val="7AF04508"/>
    <w:rsid w:val="7BFDBE5D"/>
    <w:rsid w:val="7DDF21ED"/>
    <w:rsid w:val="7E026C41"/>
    <w:rsid w:val="7ECF4B58"/>
    <w:rsid w:val="7F5DF7DE"/>
    <w:rsid w:val="7FCFD9D8"/>
    <w:rsid w:val="7FFD64EA"/>
    <w:rsid w:val="7FFDD8DC"/>
    <w:rsid w:val="95D676CD"/>
    <w:rsid w:val="95FB9B21"/>
    <w:rsid w:val="97F36C89"/>
    <w:rsid w:val="9ABE5707"/>
    <w:rsid w:val="9FB38AA6"/>
    <w:rsid w:val="ADFFF6AC"/>
    <w:rsid w:val="AEFBB46A"/>
    <w:rsid w:val="B2B3C480"/>
    <w:rsid w:val="B76A6E68"/>
    <w:rsid w:val="BABD9DC8"/>
    <w:rsid w:val="BEFFEC93"/>
    <w:rsid w:val="C75F8694"/>
    <w:rsid w:val="CFDFDF62"/>
    <w:rsid w:val="D55DE710"/>
    <w:rsid w:val="DC6FB0E9"/>
    <w:rsid w:val="DEF711D0"/>
    <w:rsid w:val="DF43AF9A"/>
    <w:rsid w:val="DFFEF5F1"/>
    <w:rsid w:val="E7BA32F6"/>
    <w:rsid w:val="E9CF78F2"/>
    <w:rsid w:val="EB9EB3E2"/>
    <w:rsid w:val="ED8D66C3"/>
    <w:rsid w:val="EEADADD2"/>
    <w:rsid w:val="EEDF848B"/>
    <w:rsid w:val="EF5F9ED8"/>
    <w:rsid w:val="EF789A0D"/>
    <w:rsid w:val="EFF7AE11"/>
    <w:rsid w:val="F6FAEA5D"/>
    <w:rsid w:val="F9AE2597"/>
    <w:rsid w:val="FB39402B"/>
    <w:rsid w:val="FD797DAF"/>
    <w:rsid w:val="FD7D241F"/>
    <w:rsid w:val="FDB873B6"/>
    <w:rsid w:val="FDBFAA68"/>
    <w:rsid w:val="FDF34444"/>
    <w:rsid w:val="FDF7D65F"/>
    <w:rsid w:val="FDFBE058"/>
    <w:rsid w:val="FE3F6D09"/>
    <w:rsid w:val="FE9B4D7B"/>
    <w:rsid w:val="FFDC1508"/>
    <w:rsid w:val="FFDE8BBB"/>
    <w:rsid w:val="FFDF9E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qFormat/>
    <w:uiPriority w:val="0"/>
    <w:pPr>
      <w:spacing w:beforeAutospacing="1" w:afterAutospacing="1"/>
      <w:jc w:val="left"/>
      <w:outlineLvl w:val="2"/>
    </w:pPr>
    <w:rPr>
      <w:rFonts w:hint="eastAsia" w:ascii="宋体" w:hAnsi="宋体" w:cs="Times New Roman"/>
      <w:b/>
      <w:bCs/>
      <w:kern w:val="0"/>
      <w:sz w:val="27"/>
      <w:szCs w:val="27"/>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39"/>
  </w:style>
  <w:style w:type="paragraph" w:styleId="8">
    <w:name w:val="toc 2"/>
    <w:basedOn w:val="1"/>
    <w:next w:val="1"/>
    <w:qFormat/>
    <w:uiPriority w:val="39"/>
    <w:pPr>
      <w:ind w:left="420" w:leftChars="200"/>
    </w:pPr>
  </w:style>
  <w:style w:type="paragraph" w:styleId="9">
    <w:name w:val="Normal (Web)"/>
    <w:basedOn w:val="1"/>
    <w:qFormat/>
    <w:uiPriority w:val="0"/>
    <w:pPr>
      <w:spacing w:beforeAutospacing="1" w:afterAutospacing="1"/>
      <w:jc w:val="left"/>
    </w:pPr>
    <w:rPr>
      <w:rFonts w:cs="Times New Roman"/>
      <w:kern w:val="0"/>
      <w:sz w:val="24"/>
    </w:rPr>
  </w:style>
  <w:style w:type="character" w:styleId="12">
    <w:name w:val="Strong"/>
    <w:basedOn w:val="11"/>
    <w:qFormat/>
    <w:uiPriority w:val="0"/>
    <w:rPr>
      <w:b/>
    </w:rPr>
  </w:style>
  <w:style w:type="character" w:styleId="13">
    <w:name w:val="FollowedHyperlink"/>
    <w:basedOn w:val="11"/>
    <w:qFormat/>
    <w:uiPriority w:val="0"/>
    <w:rPr>
      <w:color w:val="800080"/>
      <w:u w:val="single"/>
    </w:rPr>
  </w:style>
  <w:style w:type="character" w:styleId="14">
    <w:name w:val="Emphasis"/>
    <w:basedOn w:val="11"/>
    <w:qFormat/>
    <w:uiPriority w:val="0"/>
    <w:rPr>
      <w:i/>
    </w:rPr>
  </w:style>
  <w:style w:type="character" w:styleId="15">
    <w:name w:val="Hyperlink"/>
    <w:basedOn w:val="11"/>
    <w:qFormat/>
    <w:uiPriority w:val="99"/>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36</Pages>
  <Words>20276</Words>
  <Characters>20955</Characters>
  <Lines>99</Lines>
  <Paragraphs>27</Paragraphs>
  <TotalTime>6</TotalTime>
  <ScaleCrop>false</ScaleCrop>
  <LinksUpToDate>false</LinksUpToDate>
  <CharactersWithSpaces>21093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2025-11-21T11:28:00Z</dcterms:created>
  <dc:creator>Jane_V&amp;T LAW</dc:creator>
  <cp:lastModifiedBy>冯利</cp:lastModifiedBy>
  <dcterms:modified xsi:type="dcterms:W3CDTF">2026-02-25T11:33:59Z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88136A1750814578B14BA8E4BC57A3A6_13</vt:lpwstr>
  </property>
  <property fmtid="{D5CDD505-2E9C-101B-9397-08002B2CF9AE}" pid="4" name="KSOTemplateDocerSaveRecord">
    <vt:lpwstr>eyJoZGlkIjoiZjgxNzA2Yzc0YjE2MzRiMzA4MjgyNmI0YWZjMmQ1ZjIiLCJ1c2VySWQiOiIyOTI0MjU4MDMifQ==</vt:lpwstr>
  </property>
</Properties>
</file>