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cs="宋体"/>
          <w:b/>
          <w:sz w:val="28"/>
          <w:szCs w:val="28"/>
        </w:rPr>
      </w:pPr>
      <w:bookmarkStart w:id="0" w:name="_GoBack"/>
      <w:r>
        <w:rPr>
          <w:rFonts w:hint="eastAsia" w:ascii="宋体" w:hAnsi="宋体" w:cs="宋体"/>
          <w:sz w:val="28"/>
          <w:szCs w:val="28"/>
        </w:rPr>
        <w:t>【</w:t>
      </w:r>
      <w:r>
        <w:rPr>
          <w:rFonts w:hint="eastAsia" w:ascii="宋体" w:hAnsi="宋体" w:cs="宋体"/>
          <w:b/>
          <w:sz w:val="28"/>
          <w:szCs w:val="28"/>
        </w:rPr>
        <w:t>文件名称</w:t>
      </w:r>
      <w:r>
        <w:rPr>
          <w:rFonts w:hint="eastAsia" w:ascii="宋体" w:hAnsi="宋体" w:cs="宋体"/>
          <w:sz w:val="28"/>
          <w:szCs w:val="28"/>
        </w:rPr>
        <w:t>】</w:t>
      </w:r>
      <w:r>
        <w:rPr>
          <w:rFonts w:hint="eastAsia" w:ascii="宋体" w:hAnsi="宋体" w:cs="宋体"/>
          <w:b/>
          <w:sz w:val="28"/>
          <w:szCs w:val="28"/>
        </w:rPr>
        <w:t>：我省公检法三机关联合出台工作指引打击电信网络诈骗</w:t>
      </w:r>
    </w:p>
    <w:bookmarkEnd w:id="0"/>
    <w:p>
      <w:pPr>
        <w:rPr>
          <w:rFonts w:hint="eastAsia" w:ascii="宋体" w:hAnsi="宋体" w:cs="宋体"/>
          <w:sz w:val="28"/>
          <w:szCs w:val="28"/>
        </w:rPr>
      </w:pPr>
    </w:p>
    <w:p>
      <w:pPr>
        <w:rPr>
          <w:rFonts w:hint="eastAsia" w:ascii="宋体" w:hAnsi="宋体" w:cs="宋体"/>
          <w:sz w:val="28"/>
          <w:szCs w:val="28"/>
        </w:rPr>
      </w:pPr>
      <w:r>
        <w:rPr>
          <w:rFonts w:hint="eastAsia" w:ascii="宋体" w:hAnsi="宋体" w:cs="宋体"/>
          <w:b/>
          <w:sz w:val="28"/>
          <w:szCs w:val="28"/>
        </w:rPr>
        <w:t>【发文机关】：广东省人民检察院</w:t>
      </w:r>
      <w:r>
        <w:rPr>
          <w:rFonts w:hint="eastAsia" w:ascii="宋体" w:hAnsi="宋体" w:cs="宋体"/>
          <w:sz w:val="28"/>
          <w:szCs w:val="28"/>
        </w:rPr>
        <w:t xml:space="preserve"> </w:t>
      </w:r>
    </w:p>
    <w:p>
      <w:pPr>
        <w:shd w:val="clear" w:color="auto" w:fill="FFFFFF"/>
        <w:spacing w:line="420" w:lineRule="atLeast"/>
        <w:rPr>
          <w:rFonts w:hint="eastAsia" w:ascii="宋体" w:hAnsi="宋体" w:cs="宋体"/>
          <w:bCs/>
          <w:sz w:val="28"/>
          <w:szCs w:val="28"/>
        </w:rPr>
      </w:pPr>
      <w:r>
        <w:rPr>
          <w:rFonts w:hint="eastAsia" w:ascii="宋体" w:hAnsi="宋体" w:cs="宋体"/>
          <w:b/>
          <w:sz w:val="28"/>
          <w:szCs w:val="28"/>
        </w:rPr>
        <w:t>【成文日期】：</w:t>
      </w:r>
      <w:r>
        <w:rPr>
          <w:rFonts w:hint="eastAsia" w:ascii="宋体" w:hAnsi="宋体" w:cs="宋体"/>
          <w:bCs/>
          <w:sz w:val="28"/>
          <w:szCs w:val="28"/>
        </w:rPr>
        <w:t>2022年0</w:t>
      </w:r>
      <w:r>
        <w:rPr>
          <w:rFonts w:ascii="宋体" w:hAnsi="宋体" w:cs="宋体"/>
          <w:bCs/>
          <w:sz w:val="28"/>
          <w:szCs w:val="28"/>
        </w:rPr>
        <w:t>1</w:t>
      </w:r>
      <w:r>
        <w:rPr>
          <w:rFonts w:hint="eastAsia" w:ascii="宋体" w:hAnsi="宋体" w:cs="宋体"/>
          <w:bCs/>
          <w:sz w:val="28"/>
          <w:szCs w:val="28"/>
        </w:rPr>
        <w:t>月</w:t>
      </w:r>
      <w:r>
        <w:rPr>
          <w:rFonts w:ascii="宋体" w:hAnsi="宋体" w:cs="宋体"/>
          <w:bCs/>
          <w:sz w:val="28"/>
          <w:szCs w:val="28"/>
        </w:rPr>
        <w:t>06</w:t>
      </w:r>
      <w:r>
        <w:rPr>
          <w:rFonts w:hint="eastAsia" w:ascii="宋体" w:hAnsi="宋体" w:cs="宋体"/>
          <w:bCs/>
          <w:sz w:val="28"/>
          <w:szCs w:val="28"/>
        </w:rPr>
        <w:t>日</w:t>
      </w:r>
    </w:p>
    <w:p>
      <w:pPr>
        <w:shd w:val="clear" w:color="auto" w:fill="FFFFFF"/>
        <w:spacing w:line="420" w:lineRule="atLeast"/>
        <w:rPr>
          <w:rFonts w:hint="eastAsia" w:ascii="宋体" w:hAnsi="宋体" w:cs="宋体"/>
          <w:bCs/>
          <w:sz w:val="28"/>
          <w:szCs w:val="28"/>
        </w:rPr>
      </w:pPr>
      <w:r>
        <w:rPr>
          <w:rFonts w:hint="eastAsia" w:ascii="宋体" w:hAnsi="宋体" w:cs="宋体"/>
          <w:b/>
          <w:sz w:val="28"/>
          <w:szCs w:val="28"/>
        </w:rPr>
        <w:t>【发布日期】：</w:t>
      </w:r>
      <w:r>
        <w:rPr>
          <w:rFonts w:hint="eastAsia" w:ascii="宋体" w:hAnsi="宋体" w:cs="宋体"/>
          <w:bCs/>
          <w:sz w:val="28"/>
          <w:szCs w:val="28"/>
        </w:rPr>
        <w:t>2022年0</w:t>
      </w:r>
      <w:r>
        <w:rPr>
          <w:rFonts w:ascii="宋体" w:hAnsi="宋体" w:cs="宋体"/>
          <w:bCs/>
          <w:sz w:val="28"/>
          <w:szCs w:val="28"/>
        </w:rPr>
        <w:t>1</w:t>
      </w:r>
      <w:r>
        <w:rPr>
          <w:rFonts w:hint="eastAsia" w:ascii="宋体" w:hAnsi="宋体" w:cs="宋体"/>
          <w:bCs/>
          <w:sz w:val="28"/>
          <w:szCs w:val="28"/>
        </w:rPr>
        <w:t>月0</w:t>
      </w:r>
      <w:r>
        <w:rPr>
          <w:rFonts w:ascii="宋体" w:hAnsi="宋体" w:cs="宋体"/>
          <w:bCs/>
          <w:sz w:val="28"/>
          <w:szCs w:val="28"/>
        </w:rPr>
        <w:t>6</w:t>
      </w:r>
      <w:r>
        <w:rPr>
          <w:rFonts w:hint="eastAsia" w:ascii="宋体" w:hAnsi="宋体" w:cs="宋体"/>
          <w:bCs/>
          <w:sz w:val="28"/>
          <w:szCs w:val="28"/>
        </w:rPr>
        <w:t>日</w:t>
      </w:r>
    </w:p>
    <w:p>
      <w:pPr>
        <w:tabs>
          <w:tab w:val="left" w:pos="6277"/>
        </w:tabs>
        <w:rPr>
          <w:rFonts w:hint="eastAsia" w:ascii="宋体" w:hAnsi="宋体" w:cs="宋体"/>
          <w:b/>
          <w:sz w:val="28"/>
          <w:szCs w:val="28"/>
        </w:rPr>
      </w:pPr>
      <w:r>
        <w:rPr>
          <w:rFonts w:hint="eastAsia" w:ascii="宋体" w:hAnsi="宋体" w:cs="宋体"/>
          <w:b/>
          <w:sz w:val="28"/>
          <w:szCs w:val="28"/>
        </w:rPr>
        <w:t>【网络链接】：</w:t>
      </w:r>
    </w:p>
    <w:p>
      <w:pPr>
        <w:tabs>
          <w:tab w:val="left" w:pos="6277"/>
        </w:tabs>
        <w:rPr>
          <w:rStyle w:val="6"/>
          <w:rFonts w:ascii="宋体" w:hAnsi="宋体" w:cs="宋体"/>
          <w:b/>
          <w:sz w:val="28"/>
          <w:szCs w:val="28"/>
        </w:rPr>
      </w:pPr>
      <w:r>
        <w:fldChar w:fldCharType="begin"/>
      </w:r>
      <w:r>
        <w:instrText xml:space="preserve"> HYPERLINK "http://www.gd.jcy.gov.cn/jcyw/jjfzjc/gzdt6/202201/t20220111_3526562.shtml" </w:instrText>
      </w:r>
      <w:r>
        <w:fldChar w:fldCharType="separate"/>
      </w:r>
      <w:r>
        <w:rPr>
          <w:rStyle w:val="6"/>
          <w:rFonts w:ascii="宋体" w:hAnsi="宋体" w:cs="宋体"/>
          <w:b/>
          <w:sz w:val="28"/>
          <w:szCs w:val="28"/>
        </w:rPr>
        <w:t>http://www.gd.jcy.gov.cn/jcyw/jjfzjc/gzdt6/202201/t20220111_3526562.shtml</w:t>
      </w:r>
      <w:r>
        <w:rPr>
          <w:rStyle w:val="6"/>
          <w:rFonts w:ascii="宋体" w:hAnsi="宋体" w:cs="宋体"/>
          <w:b/>
          <w:sz w:val="28"/>
          <w:szCs w:val="28"/>
        </w:rPr>
        <w:fldChar w:fldCharType="end"/>
      </w:r>
    </w:p>
    <w:p>
      <w:pPr>
        <w:tabs>
          <w:tab w:val="left" w:pos="6277"/>
        </w:tabs>
        <w:rPr>
          <w:rFonts w:hint="eastAsia" w:ascii="宋体" w:hAnsi="宋体" w:cs="宋体"/>
          <w:sz w:val="28"/>
          <w:szCs w:val="28"/>
        </w:rPr>
      </w:pPr>
      <w:r>
        <w:rPr>
          <w:rFonts w:hint="eastAsia" w:ascii="宋体" w:hAnsi="宋体" w:cs="宋体"/>
          <w:b/>
          <w:sz w:val="28"/>
          <w:szCs w:val="28"/>
        </w:rPr>
        <w:t>【上传人】：</w:t>
      </w:r>
      <w:r>
        <w:rPr>
          <w:rFonts w:hint="eastAsia" w:ascii="宋体" w:hAnsi="宋体" w:cs="宋体"/>
          <w:sz w:val="28"/>
          <w:szCs w:val="28"/>
        </w:rPr>
        <w:t>商辩委</w:t>
      </w:r>
    </w:p>
    <w:p>
      <w:pPr>
        <w:pStyle w:val="2"/>
        <w:widowControl/>
        <w:wordWrap w:val="0"/>
        <w:spacing w:before="0" w:beforeAutospacing="0" w:after="0" w:afterAutospacing="0" w:line="540" w:lineRule="atLeast"/>
        <w:jc w:val="both"/>
        <w:rPr>
          <w:rFonts w:hint="eastAsia" w:ascii="微软雅黑" w:hAnsi="微软雅黑" w:eastAsia="微软雅黑" w:cs="微软雅黑"/>
          <w:b/>
          <w:bCs/>
          <w:color w:val="000000"/>
          <w:sz w:val="28"/>
          <w:szCs w:val="28"/>
        </w:rPr>
        <w:sectPr>
          <w:pgSz w:w="11906" w:h="16838"/>
          <w:pgMar w:top="1440" w:right="1800" w:bottom="1440" w:left="1800" w:header="851" w:footer="992" w:gutter="0"/>
          <w:cols w:space="720" w:num="1"/>
          <w:docGrid w:type="lines" w:linePitch="312" w:charSpace="0"/>
        </w:sectPr>
      </w:pPr>
    </w:p>
    <w:p>
      <w:pPr>
        <w:widowControl/>
        <w:jc w:val="left"/>
        <w:rPr>
          <w:rFonts w:ascii="宋体" w:hAnsi="宋体" w:cs="宋体"/>
          <w:kern w:val="0"/>
          <w:sz w:val="24"/>
        </w:rPr>
      </w:pPr>
      <w:r>
        <w:rPr>
          <w:rFonts w:hint="eastAsia" w:ascii="微软雅黑" w:hAnsi="微软雅黑" w:eastAsia="微软雅黑" w:cs="宋体"/>
          <w:color w:val="000000"/>
          <w:kern w:val="0"/>
          <w:sz w:val="33"/>
          <w:szCs w:val="33"/>
          <w:shd w:val="clear" w:color="auto" w:fill="FFFFFF"/>
        </w:rPr>
        <w:t>我省公检法三机关联合出台工作指引打击电信网络诈骗</w:t>
      </w:r>
    </w:p>
    <w:p/>
    <w:p>
      <w:pPr>
        <w:widowControl/>
        <w:ind w:firstLine="600" w:firstLineChars="250"/>
        <w:jc w:val="left"/>
        <w:rPr>
          <w:rFonts w:ascii="微软雅黑" w:hAnsi="微软雅黑" w:eastAsia="微软雅黑" w:cs="宋体"/>
          <w:color w:val="000000"/>
          <w:kern w:val="0"/>
          <w:sz w:val="24"/>
        </w:rPr>
      </w:pPr>
      <w:r>
        <w:rPr>
          <w:rFonts w:hint="eastAsia" w:ascii="微软雅黑" w:hAnsi="微软雅黑" w:eastAsia="微软雅黑" w:cs="宋体"/>
          <w:color w:val="000000"/>
          <w:kern w:val="0"/>
          <w:sz w:val="24"/>
        </w:rPr>
        <w:t>近日，广东省高级人民法院、广东省人民检察院、广东省公安厅联合出台《关于办理电信网络诈骗等刑事案件的工作指引》（以下简称《指引》），强调公检法办案机关要加强协作配合落实打防管控，强化全链条打击，最大限度追赃挽损，坚决遏制电信网络诈骗犯罪，切实维护人民群众财产安全。</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《指引》共8部分37条，从案件管辖、犯罪行为、主观要件、犯罪数额的认定以及涉案财物处置、证据收集与审查等方面对全省电信网络诈骗犯罪及关联犯罪案件侦查、起诉和审理提出了具体意见。</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《指引》要求，对于犯罪集团、团伙的组织者、策划者、指挥者和骨干分子，以及利用未成年人、在校学生、老年人、残疾人实施电信网络诈骗的，依法从严惩处。</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指引》强调，对电信网络诈骗关联犯罪实施全链条打击。在打击电信网络诈骗犯罪中发现实施扰乱无线电通讯管理秩序、侵犯公民个人信息、拒不履行信息网络安全管理义务、非法利用信息网络等行为构成犯罪的，均依法予以严惩；发现为电信网络诈骗犯罪提供互联网接入、服务器托管、网络存储、通讯传输等技术支持，或提供广告推广、支付结算等各类帮助行为构成犯罪的，均应追究刑事责任。</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指引》规定，对电信网络诈骗犯罪数额的认定要综合全案主客观证据。对有证据证明银行账户或第三方账户是专门用于接收、流转犯罪所得的，相关资金均计入犯罪数额，用于退赔被害人或没收上缴国库。追缴的涉案财物不足全额退赔被害人的，司法机关可依法判决责令在案被告人按一定比例承担退赔义务。</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指引》明确，公、检、法等机关建立打击电信网络诈骗重大案件通报与联合督办机制，对电信网络诈骗及其关联犯罪的变化趋势、手段特点、法律适用、办案难点及治理方案等定期研讨交流，统一办案标准，形成打击电信网络诈骗工作合力。</w:t>
      </w:r>
    </w:p>
    <w:p>
      <w:pPr>
        <w:widowControl/>
        <w:jc w:val="left"/>
        <w:rPr>
          <w:rFonts w:hint="eastAsia" w:ascii="微软雅黑" w:hAnsi="微软雅黑" w:eastAsia="微软雅黑" w:cs="宋体"/>
          <w:color w:val="000000"/>
          <w:kern w:val="0"/>
          <w:sz w:val="24"/>
        </w:rPr>
      </w:pPr>
      <w:r>
        <w:rPr>
          <w:rFonts w:hint="eastAsia" w:ascii="微软雅黑" w:hAnsi="微软雅黑" w:eastAsia="微软雅黑" w:cs="宋体"/>
          <w:color w:val="000000"/>
          <w:kern w:val="0"/>
          <w:sz w:val="24"/>
        </w:rPr>
        <w:t>　　据统计，2021年全省检察机关起诉侵犯公民个人信息罪、帮助信息网络犯罪活动罪人数同比分别上升近三成和六倍，起诉电信网络诈骗犯罪人数同比下降三成，电诈高发多发态势得到了一定的遏制。</w:t>
      </w:r>
    </w:p>
    <w:p>
      <w:pPr>
        <w:pStyle w:val="2"/>
        <w:widowControl/>
        <w:shd w:val="clear" w:color="auto" w:fill="FFFFFF"/>
        <w:spacing w:before="0" w:beforeAutospacing="0" w:after="150" w:afterAutospacing="0"/>
        <w:ind w:firstLine="480" w:firstLineChars="200"/>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16F"/>
    <w:rsid w:val="003C016F"/>
    <w:rsid w:val="006634DD"/>
    <w:rsid w:val="79EA0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jc w:val="left"/>
    </w:pPr>
    <w:rPr>
      <w:kern w:val="0"/>
      <w:sz w:val="24"/>
    </w:rPr>
  </w:style>
  <w:style w:type="character" w:styleId="5">
    <w:name w:val="Strong"/>
    <w:qFormat/>
    <w:uiPriority w:val="0"/>
    <w:rPr>
      <w:b/>
    </w:rPr>
  </w:style>
  <w:style w:type="character" w:styleId="6">
    <w:name w:val="Hyperlink"/>
    <w:uiPriority w:val="0"/>
    <w:rPr>
      <w:color w:val="0000FF"/>
      <w:u w:val="single"/>
    </w:rPr>
  </w:style>
  <w:style w:type="character" w:customStyle="1" w:styleId="7">
    <w:name w:val="Unresolved Mention"/>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166</Words>
  <Characters>952</Characters>
  <Lines>7</Lines>
  <Paragraphs>2</Paragraphs>
  <TotalTime>6</TotalTime>
  <ScaleCrop>false</ScaleCrop>
  <LinksUpToDate>false</LinksUpToDate>
  <CharactersWithSpaces>1116</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2022-04-13T10:27:00Z</dcterms:created>
  <dc:creator>zcq222@outlook.com</dc:creator>
  <cp:lastModifiedBy>Grace Z</cp:lastModifiedBy>
  <dcterms:modified xsi:type="dcterms:W3CDTF">2022-04-13T11:01:32Z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105B9971B5F34773ADC856215E72C15D</vt:lpwstr>
  </property>
</Properties>
</file>