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365583">
      <w:pPr>
        <w:keepNext w:val="0"/>
        <w:keepLines w:val="0"/>
        <w:pageBreakBefore w:val="0"/>
        <w:widowControl w:val="0"/>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line="560" w:lineRule="exact"/>
        <w:ind w:left="0" w:leftChars="0" w:firstLine="0" w:firstLineChars="0"/>
        <w:textAlignment w:val="auto"/>
        <w:rPr>
          <w:rFonts w:hint="default" w:ascii="黑体" w:hAnsi="黑体" w:eastAsia="黑体" w:cs="黑体"/>
          <w:sz w:val="32"/>
          <w:szCs w:val="22"/>
          <w:lang w:val="en-US" w:eastAsia="zh-CN"/>
        </w:rPr>
      </w:pPr>
      <w:r>
        <w:rPr>
          <w:rFonts w:hint="eastAsia" w:ascii="黑体" w:hAnsi="黑体" w:eastAsia="黑体" w:cs="黑体"/>
          <w:sz w:val="32"/>
          <w:szCs w:val="22"/>
          <w:lang w:val="en-US" w:eastAsia="zh-CN"/>
        </w:rPr>
        <w:t>附件2</w:t>
      </w:r>
    </w:p>
    <w:p w14:paraId="3ACCF546">
      <w:pPr>
        <w:keepNext w:val="0"/>
        <w:keepLines w:val="0"/>
        <w:pageBreakBefore w:val="0"/>
        <w:widowControl w:val="0"/>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line="680" w:lineRule="exact"/>
        <w:ind w:left="0" w:leftChars="0" w:firstLine="0" w:firstLineChars="0"/>
        <w:jc w:val="center"/>
        <w:textAlignment w:val="auto"/>
        <w:rPr>
          <w:rFonts w:hint="eastAsia" w:ascii="方正小标宋简体" w:hAnsi="方正小标宋简体" w:eastAsia="方正小标宋简体" w:cs="方正小标宋简体"/>
          <w:sz w:val="44"/>
          <w:szCs w:val="32"/>
          <w:lang w:val="en-US" w:eastAsia="zh-CN"/>
        </w:rPr>
      </w:pPr>
      <w:r>
        <w:rPr>
          <w:rFonts w:hint="eastAsia" w:ascii="方正小标宋简体" w:hAnsi="方正小标宋简体" w:eastAsia="方正小标宋简体" w:cs="方正小标宋简体"/>
          <w:sz w:val="44"/>
          <w:szCs w:val="32"/>
          <w:lang w:val="en-US" w:eastAsia="zh-CN"/>
        </w:rPr>
        <w:t>相关机构与讲师介绍</w:t>
      </w:r>
    </w:p>
    <w:p w14:paraId="5838F1D6">
      <w:pPr>
        <w:pStyle w:val="2"/>
        <w:rPr>
          <w:rFonts w:hint="eastAsia"/>
          <w:lang w:val="en-US" w:eastAsia="zh-CN"/>
        </w:rPr>
      </w:pPr>
    </w:p>
    <w:p w14:paraId="39DD3EE5">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一、机构介绍</w:t>
      </w:r>
    </w:p>
    <w:p w14:paraId="0CE704C6">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Times New Roman" w:hAnsi="Times New Roman" w:eastAsia="楷体_GB2312" w:cs="楷体_GB2312"/>
          <w:sz w:val="32"/>
          <w:szCs w:val="32"/>
          <w:lang w:val="en-US" w:eastAsia="zh-CN"/>
        </w:rPr>
      </w:pPr>
      <w:r>
        <w:rPr>
          <w:rFonts w:hint="eastAsia" w:ascii="Times New Roman" w:hAnsi="Times New Roman" w:eastAsia="楷体_GB2312" w:cs="楷体_GB2312"/>
          <w:sz w:val="32"/>
          <w:szCs w:val="32"/>
          <w:lang w:val="en-US" w:eastAsia="zh-CN"/>
        </w:rPr>
        <w:t>（一）新加坡律政部（MinLaw）</w:t>
      </w:r>
    </w:p>
    <w:p w14:paraId="306D8C5B">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新加坡律政部使命是通过政策、法律和相关的服务增进诉诸司法的途径，促进法治建设和经济与社会的发展。MinLaw推动法律改革，监督有关新加坡法律行业的发展、推广与监管，并借由国际法律政策和合作，推进新加坡的国家利益。此外，MinLaw负责监管放贷和典当服务，颁发法律执业许可证，注册外国合格的法律从业人员，监督宝石和金属交易商，以及提供法律援助、社区调解、破产管理和公共信托等社区法律服务。MinLaw在其属下法定机构的支持下，也负责监督土地政策与管理和新加坡知识产权行业的发展。</w:t>
      </w:r>
    </w:p>
    <w:p w14:paraId="1BEFBA75">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Times New Roman" w:hAnsi="Times New Roman" w:eastAsia="楷体_GB2312" w:cs="楷体_GB2312"/>
          <w:sz w:val="32"/>
          <w:szCs w:val="32"/>
          <w:lang w:val="en-US" w:eastAsia="zh-CN"/>
        </w:rPr>
      </w:pPr>
      <w:r>
        <w:rPr>
          <w:rFonts w:hint="eastAsia" w:ascii="Times New Roman" w:hAnsi="Times New Roman" w:eastAsia="楷体_GB2312" w:cs="楷体_GB2312"/>
          <w:sz w:val="32"/>
          <w:szCs w:val="32"/>
          <w:lang w:val="en-US" w:eastAsia="zh-CN"/>
        </w:rPr>
        <w:t>（二）新加坡律师公会（The Law Society of Singapore）</w:t>
      </w:r>
    </w:p>
    <w:p w14:paraId="0CCB4AE5">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新加坡律师公会是根据1967年《法律职业法》成立的法定专业团体，肩负多重重要职能。作为法律界的代表机构，公会致力于维护会员权益、提升律师专业水平，并通过多种方式促进法律职业发展。其核心职能包括：为新加坡执业律师提供支持与保障；推动法律知识传播与专业学习；持续提升法律行业的执业标准与操守；同时协助公众处理与法律相关的各类事务。根据规定，所有持有有效执业证书的新加坡律师自动成为公会会员，部分在法律服务监管局注册的外国律师也享有同等资格。作为法律职业与公众之间的桥梁，新加坡律师公会在推动法治建设、服务社会发展方面发挥着不可替代的作用。</w:t>
      </w:r>
    </w:p>
    <w:p w14:paraId="2AEA6B48">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Times New Roman" w:hAnsi="Times New Roman" w:eastAsia="楷体_GB2312" w:cs="楷体_GB2312"/>
          <w:sz w:val="32"/>
          <w:szCs w:val="32"/>
          <w:lang w:val="en-US" w:eastAsia="zh-CN"/>
        </w:rPr>
      </w:pPr>
      <w:r>
        <w:rPr>
          <w:rFonts w:hint="eastAsia" w:ascii="Times New Roman" w:hAnsi="Times New Roman" w:eastAsia="楷体_GB2312" w:cs="楷体_GB2312"/>
          <w:sz w:val="32"/>
          <w:szCs w:val="32"/>
          <w:lang w:val="en-US" w:eastAsia="zh-CN"/>
        </w:rPr>
        <w:t>（三）新加坡国际仲裁中心（SIAC）</w:t>
      </w:r>
    </w:p>
    <w:p w14:paraId="378F1CBA">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新加坡国际仲裁中心（SIAC）是一家获得国际认可的全球性仲裁机构，为世界各地当事人提供中立、高效且具有竞争力的案件管理服务。自1991年作为独立非营利机构成立以来，SIAC已跻身全球顶尖国际仲裁机构之列，服务过来自100多个司法管辖区的用户，始终以向国际商界提供中立仲裁服务而著称。SIAC仲裁裁决已在澳大利亚、中国、中国香港特别行政区、印度、印度尼西亚、约旦、泰国、英国、美国、越南等众多《纽约公约》签署国获得执行。SIAC仲裁员名册汇聚了来自40多个司法管辖区的700余位专家仲裁员，其专业领域涵盖能源、建筑工程、银行金融、科技、航运与大宗商品、私募股权、生命科学与医药等各行业。中心还设有知识产权争议专项仲裁员名册。所有仲裁员任命均严格基于其专业资质、行业经验及过往业绩评估。《SIAC仲裁规则》构建了现代化程序框架，可高效、公正地处理不同规模与复杂程度的国际争议，适应多元法律体系与文化背景的当事人需求。SIAC全程监督案件进展，通过严格的核阅程序确保裁决质量与可执行性。</w:t>
      </w:r>
    </w:p>
    <w:p w14:paraId="67C7C9F1">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Times New Roman" w:hAnsi="Times New Roman" w:eastAsia="楷体_GB2312" w:cs="楷体_GB2312"/>
          <w:sz w:val="32"/>
          <w:szCs w:val="32"/>
          <w:lang w:val="en-US" w:eastAsia="zh-CN"/>
        </w:rPr>
      </w:pPr>
      <w:r>
        <w:rPr>
          <w:rFonts w:hint="eastAsia" w:ascii="Times New Roman" w:hAnsi="Times New Roman" w:eastAsia="楷体_GB2312" w:cs="楷体_GB2312"/>
          <w:sz w:val="32"/>
          <w:szCs w:val="32"/>
          <w:lang w:val="en-US" w:eastAsia="zh-CN"/>
        </w:rPr>
        <w:t>（四）新加坡国际商事法院（SICC）</w:t>
      </w:r>
    </w:p>
    <w:p w14:paraId="2C8B702E">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新加坡国际商业法院是新加坡高等法院大法庭的分支机构，隶属于新加坡最高法院体系。该法院于2015年成立，凭借新加坡地处亚洲的战略位置及其以高效、专业和廉洁著称的世界级司法体系，为日益增长的跨国诉讼纠纷提供值得信赖的中立解决平台，进一步巩固了新加坡作为亚洲重要法律商业枢纽和国际商事争议解决领先中心的地位。SICC专门审理具有"国际商事性质"的案件。SICC的法官团队由经验丰富的国际知名法官与本地资深商业法官组成，均具备专业商事审判资质。新加坡国际商事调解中心（SIMC）新加坡国际调解中心（SIMC）是一家独立的非营利机构，致力于满足跨国商业纠纷解决的需求,，其相信，即使在争议之中，商业合作的机会依然存在。凭借专业的争议管理经验，SIMC帮助客户建立持久的关系，并提供创新、可持续的解决方案。SIMC成立于2014年11月5日，由新加坡首席大法官Sundaresh Menon和新加坡律政部召集的工作组提议设立，旨在推动新加坡成为国际商业调解中心。SIMC跨越不同法域（包括普通法和大陆法体系），通过专业的案件管理、能力建设和行业引领，促进高效争议解决。</w:t>
      </w:r>
    </w:p>
    <w:p w14:paraId="2BD821E2">
      <w:pPr>
        <w:pStyle w:val="8"/>
        <w:keepNext w:val="0"/>
        <w:keepLines w:val="0"/>
        <w:pageBreakBefore w:val="0"/>
        <w:widowControl w:val="0"/>
        <w:numPr>
          <w:ilvl w:val="0"/>
          <w:numId w:val="1"/>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师资介绍（暂定）</w:t>
      </w:r>
    </w:p>
    <w:p w14:paraId="173E5A55">
      <w:pPr>
        <w:pStyle w:val="8"/>
        <w:keepNext w:val="0"/>
        <w:keepLines w:val="0"/>
        <w:pageBreakBefore w:val="0"/>
        <w:widowControl w:val="0"/>
        <w:numPr>
          <w:ilvl w:val="0"/>
          <w:numId w:val="2"/>
        </w:numPr>
        <w:kinsoku/>
        <w:wordWrap/>
        <w:overflowPunct/>
        <w:topLinePunct w:val="0"/>
        <w:autoSpaceDE/>
        <w:autoSpaceDN/>
        <w:bidi w:val="0"/>
        <w:adjustRightInd/>
        <w:snapToGrid/>
        <w:spacing w:after="0" w:line="560" w:lineRule="exact"/>
        <w:ind w:left="-10" w:leftChars="0" w:firstLine="640" w:firstLineChars="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Samuel Leong</w:t>
      </w:r>
    </w:p>
    <w:p w14:paraId="36A261E2">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新加坡国际仲裁中心副注册官。他拥有十余年国际仲裁专业经验，曾以仲裁员及仲裁代理律师身份处理国际仲裁案件。在重返SIAC之前，他曾于某全球知名律师事务所新加坡办公室从事国际仲裁业务。Samuel被《Lexology Index》（原《Who's Who Legal》）评为全球精英思想领袖暨仲裁领域"最受推崇"的未来领袖，入选《Legal 500》东南亚国际仲裁权威榜单，并获汤森路透卓越律师称号。被誉为"下一代领军人物"的他，以"精湛的仲裁专业知识"著称，拥有"对仲裁机构实践与程序的深刻理解"，更是一位"文风犀利创新、具有强大说服力的庭辩专家"。Samuel毕业于吉隆坡马来亚大学法学学士（LL.B.）学位，后以富布赖特学者及哈兰·菲斯克·斯通学者身份赴纽约哥伦比亚大学法学院攻读法学硕士（LL.M.）学位。他获得马来西亚律师执业资格，精通马来语并通晓普通话。</w:t>
      </w:r>
    </w:p>
    <w:p w14:paraId="5BD74FA4">
      <w:pPr>
        <w:pStyle w:val="8"/>
        <w:keepNext w:val="0"/>
        <w:keepLines w:val="0"/>
        <w:pageBreakBefore w:val="0"/>
        <w:widowControl w:val="0"/>
        <w:numPr>
          <w:ilvl w:val="0"/>
          <w:numId w:val="2"/>
        </w:numPr>
        <w:kinsoku/>
        <w:wordWrap/>
        <w:overflowPunct/>
        <w:topLinePunct w:val="0"/>
        <w:autoSpaceDE/>
        <w:autoSpaceDN/>
        <w:bidi w:val="0"/>
        <w:adjustRightInd/>
        <w:snapToGrid/>
        <w:spacing w:after="0" w:line="560" w:lineRule="exact"/>
        <w:ind w:left="-10" w:leftChars="0" w:firstLine="640" w:firstLineChars="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Swati Jhaveri</w:t>
      </w:r>
    </w:p>
    <w:p w14:paraId="14FD2ACB">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Swati新加坡国际仲裁中心规划发展与研究部主任，负责推动SIAC的战略规划、研究、思想领导力与出版物、知识管理及案件管理创新计划。她与战略发展部、市场活动部及秘书处同事紧密协作，主导SIAC项目规划、外展及参与活动与事件的设计与开发。Swati兼具法律实务与法学教研背景，曾在香港、新加坡、澳大利亚及美国的法律实务机构和学术机构工作。她具备香港特别行政区及英格兰与威尔士的执业资格。</w:t>
      </w:r>
    </w:p>
    <w:p w14:paraId="5B97C15F">
      <w:pPr>
        <w:pStyle w:val="8"/>
        <w:keepNext w:val="0"/>
        <w:keepLines w:val="0"/>
        <w:pageBreakBefore w:val="0"/>
        <w:widowControl w:val="0"/>
        <w:numPr>
          <w:ilvl w:val="0"/>
          <w:numId w:val="2"/>
        </w:numPr>
        <w:kinsoku/>
        <w:wordWrap/>
        <w:overflowPunct/>
        <w:topLinePunct w:val="0"/>
        <w:autoSpaceDE/>
        <w:autoSpaceDN/>
        <w:bidi w:val="0"/>
        <w:adjustRightInd/>
        <w:snapToGrid/>
        <w:spacing w:after="0" w:line="560" w:lineRule="exact"/>
        <w:ind w:left="-10" w:leftChars="0" w:firstLine="640" w:firstLineChars="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Xuanzhong Wang</w:t>
      </w:r>
    </w:p>
    <w:p w14:paraId="29A42488">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Xuanzhong是新加坡国际仲裁中心副法律顾问、美国密歇根州执业律师，并获英格兰与威尔士事务律师资格。她持有新加坡国立大学国际仲裁与争议解决法学硕士（LL.M.）学位，以及芝加哥大学法学院法律博士（JD）学位。加入SIAC之前，Xuanzhong曾任职于密歇根州某国际律师事务所，其业务专注于可再生能源项目、PPP项目、建设工程及涉及中方主体的跨境交易。</w:t>
      </w:r>
    </w:p>
    <w:p w14:paraId="2DF91672">
      <w:pPr>
        <w:pStyle w:val="8"/>
        <w:keepNext w:val="0"/>
        <w:keepLines w:val="0"/>
        <w:pageBreakBefore w:val="0"/>
        <w:widowControl w:val="0"/>
        <w:numPr>
          <w:ilvl w:val="0"/>
          <w:numId w:val="2"/>
        </w:numPr>
        <w:kinsoku/>
        <w:wordWrap/>
        <w:overflowPunct/>
        <w:topLinePunct w:val="0"/>
        <w:autoSpaceDE/>
        <w:autoSpaceDN/>
        <w:bidi w:val="0"/>
        <w:adjustRightInd/>
        <w:snapToGrid/>
        <w:spacing w:after="0" w:line="560" w:lineRule="exact"/>
        <w:ind w:left="-10" w:leftChars="0" w:firstLine="640" w:firstLineChars="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Zhao Yue</w:t>
      </w:r>
    </w:p>
    <w:p w14:paraId="5FD08CFE">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Zhao Yue是新加坡国际仲裁中心副法律顾问。获日内瓦大学最优等博士学位，主要研究投资者-东道国仲裁领域。她持有日内瓦大学国际法与欧洲法法学硕士学位，以及中国人民大学民商法学硕士学位。加入SIAC前，Zhao Yue曾担任丹麦国家研究基金会国际法院研究中心访问学者，并在国际统一私法协会（UNIDROIT）以及北京、台北的律师事务所实习。作为国际仲裁协会（ICCA）出版物的撰稿人，她完成了《ICCA第五号报告：中国商事仲裁法律概要》，并为《ICCA商事仲裁年鉴》（2021年与2022年）供稿。她现任Kluwer仲裁博客东亚与中亚板块助理编辑。Zhao Yue具备中华人民共和国法律执业资格，工作语言为英语、中文（普通话）和法语。</w:t>
      </w:r>
    </w:p>
    <w:p w14:paraId="415D43AA">
      <w:pPr>
        <w:pStyle w:val="8"/>
        <w:keepNext w:val="0"/>
        <w:keepLines w:val="0"/>
        <w:pageBreakBefore w:val="0"/>
        <w:widowControl w:val="0"/>
        <w:numPr>
          <w:ilvl w:val="0"/>
          <w:numId w:val="2"/>
        </w:numPr>
        <w:kinsoku/>
        <w:wordWrap/>
        <w:overflowPunct/>
        <w:topLinePunct w:val="0"/>
        <w:autoSpaceDE/>
        <w:autoSpaceDN/>
        <w:bidi w:val="0"/>
        <w:adjustRightInd/>
        <w:snapToGrid/>
        <w:spacing w:after="0" w:line="560" w:lineRule="exact"/>
        <w:ind w:left="-10" w:leftChars="0" w:firstLine="640" w:firstLineChars="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Rishabh Malaviya</w:t>
      </w:r>
    </w:p>
    <w:p w14:paraId="1D7EF858">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Rishabh是新加坡国际仲裁中心法律顾问，具有印度法律执业资格，并持有新加坡国立大学国际仲裁与争议解决法学硕士（LL.M.）学位。加入SIAC前，Rishabh常驻孟买，就职于印度最大律师事务所之一的争议解决团队，主要承办涉及多行业及多法域的商业仲裁（国内与国际）及诉讼案件。他长期为法律期刊及博客撰稿，并定期在印度法学院举办讲座。Rishabh精通英语和印地语，并能使用马拉地语进行工作交流。</w:t>
      </w:r>
    </w:p>
    <w:p w14:paraId="2F3848EE">
      <w:pPr>
        <w:pStyle w:val="8"/>
        <w:keepNext w:val="0"/>
        <w:keepLines w:val="0"/>
        <w:pageBreakBefore w:val="0"/>
        <w:widowControl w:val="0"/>
        <w:numPr>
          <w:ilvl w:val="0"/>
          <w:numId w:val="2"/>
        </w:numPr>
        <w:kinsoku/>
        <w:wordWrap/>
        <w:overflowPunct/>
        <w:topLinePunct w:val="0"/>
        <w:autoSpaceDE/>
        <w:autoSpaceDN/>
        <w:bidi w:val="0"/>
        <w:adjustRightInd/>
        <w:snapToGrid/>
        <w:spacing w:after="0" w:line="560" w:lineRule="exact"/>
        <w:ind w:left="-10" w:leftChars="0" w:firstLine="640" w:firstLineChars="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Andres Larrea Savinovich</w:t>
      </w:r>
    </w:p>
    <w:p w14:paraId="72D7C785">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Andres是新加坡国际仲裁中心副法律顾问，具备厄瓜多尔律师执业资格。加入SIAC前，他在厄瓜多尔某律师事务所担任高级顾问十二年，代理自然资源、矿业、保险、电信及建设工程等领域的商业与投资仲裁案件。Andres曾任厄瓜多尔主要仲裁中心管理的60余起仲裁案件程序的秘书。Andres持有麦吉尔大学法学硕士学位，在读期间担任《麦吉尔争议解决杂志》助理编辑，现为"绿色仲裁行动"拉丁美洲小组委员会、CyberArb、新晋仲裁员倡议组织及西班牙仲裁俱乐部成员。Andres精通英语和西班牙语。</w:t>
      </w:r>
    </w:p>
    <w:p w14:paraId="15CD71DA">
      <w:pPr>
        <w:pStyle w:val="8"/>
        <w:keepNext w:val="0"/>
        <w:keepLines w:val="0"/>
        <w:pageBreakBefore w:val="0"/>
        <w:widowControl w:val="0"/>
        <w:numPr>
          <w:ilvl w:val="0"/>
          <w:numId w:val="2"/>
        </w:numPr>
        <w:kinsoku/>
        <w:wordWrap/>
        <w:overflowPunct/>
        <w:topLinePunct w:val="0"/>
        <w:autoSpaceDE/>
        <w:autoSpaceDN/>
        <w:bidi w:val="0"/>
        <w:adjustRightInd/>
        <w:snapToGrid/>
        <w:spacing w:after="0" w:line="560" w:lineRule="exact"/>
        <w:ind w:left="-10" w:leftChars="0" w:firstLine="640" w:firstLineChars="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Margarita Drobyshevskaia</w:t>
      </w:r>
    </w:p>
    <w:p w14:paraId="77CFF596">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Margarita是SIAC法律顾问，具备俄罗斯联邦律师执业资格。加入SIAC前，她曾就职于俄罗斯某仲裁机构，负责管理国内及国际商事仲裁案件，并参与研究与教育项目。Margarita持有莫斯科高等经济学院（HSE University）法学学士学位及莫斯科俄罗斯私立法律学院法学硕士学位，目前正在罗蒙诺索夫莫斯科国立大学攻读合同法博士（Ph.D.）学位。Margarita积极参与模拟法庭社区活动，担任 Willem C. Vis 国际商事仲裁模拟法庭教练，并在模拟法庭校友协会（MAA）担任领导职务。同时她还是俄罗斯女性仲裁组织（RWA）指导委员会成员。Margarita精通英语和俄语。</w:t>
      </w:r>
    </w:p>
    <w:p w14:paraId="1DE865C4">
      <w:pPr>
        <w:pStyle w:val="8"/>
        <w:keepNext w:val="0"/>
        <w:keepLines w:val="0"/>
        <w:pageBreakBefore w:val="0"/>
        <w:widowControl w:val="0"/>
        <w:numPr>
          <w:ilvl w:val="0"/>
          <w:numId w:val="2"/>
        </w:numPr>
        <w:kinsoku/>
        <w:wordWrap/>
        <w:overflowPunct/>
        <w:topLinePunct w:val="0"/>
        <w:autoSpaceDE/>
        <w:autoSpaceDN/>
        <w:bidi w:val="0"/>
        <w:adjustRightInd/>
        <w:snapToGrid/>
        <w:spacing w:after="0" w:line="560" w:lineRule="exact"/>
        <w:ind w:left="-10" w:leftChars="0" w:firstLine="640" w:firstLineChars="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Snigdha Bhatta</w:t>
      </w:r>
    </w:p>
    <w:p w14:paraId="5B6ADA39">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Snigdha是SIAC副法律顾问，具备尼泊尔律师执业资格，并获新加坡国立大学知识产权与科技法专业硕士学位。她另持有印度加尔各答西孟加拉国国立司法科学大学（NUJS）法学学士（荣誉）学位。在新加坡国立大学期间，曾为科技、机器人、人工智能与法律中心（TRAIL）及哈佛法学院伯克曼·克莱因互联网与社会中心工作。加入SIAC前，她在加德满都一家顶级律师事务所从事诉讼与仲裁业务，并定期为尼泊尔仲裁委员会（NEPCA）撰稿。Snigdha精通英语、尼泊尔语和印地语。</w:t>
      </w:r>
    </w:p>
    <w:p w14:paraId="4CAA45C8">
      <w:pPr>
        <w:pStyle w:val="8"/>
        <w:keepNext w:val="0"/>
        <w:keepLines w:val="0"/>
        <w:pageBreakBefore w:val="0"/>
        <w:widowControl w:val="0"/>
        <w:numPr>
          <w:ilvl w:val="0"/>
          <w:numId w:val="2"/>
        </w:numPr>
        <w:kinsoku/>
        <w:wordWrap/>
        <w:overflowPunct/>
        <w:topLinePunct w:val="0"/>
        <w:autoSpaceDE/>
        <w:autoSpaceDN/>
        <w:bidi w:val="0"/>
        <w:adjustRightInd/>
        <w:snapToGrid/>
        <w:spacing w:after="0" w:line="560" w:lineRule="exact"/>
        <w:ind w:left="-10" w:leftChars="0" w:firstLine="640" w:firstLineChars="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Nusry Hussain</w:t>
      </w:r>
    </w:p>
    <w:p w14:paraId="147BAA84">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Nusry是SIAC副法律顾问，获伦敦大学（荣誉）法学学士学位，在斯里兰卡总检察长部完成法律实习后，取得斯里兰卡最高法院出庭律师资格。加入SIAC前，他就职于科伦坡一家顶级律师事务所，专注于建筑工程、银行业及能源领域的诉讼与仲裁业务，同时擅长收购兼并业务，曾参与多个国内外大型外商投资项目，在协助代理国有企业业务及为跨国公司核心利益相关方提供咨询方面拥有丰富经验。Nusry已成功通过英国证券与投资特许学会伊斯兰金融资格认证，并完成多个涉及仲裁、建设工程、知识产权及国际法的国内外培训课程。他精通英语和僧伽罗语。</w:t>
      </w:r>
    </w:p>
    <w:p w14:paraId="0D5AFAA0">
      <w:pPr>
        <w:pStyle w:val="8"/>
        <w:keepNext w:val="0"/>
        <w:keepLines w:val="0"/>
        <w:pageBreakBefore w:val="0"/>
        <w:widowControl w:val="0"/>
        <w:numPr>
          <w:ilvl w:val="0"/>
          <w:numId w:val="2"/>
        </w:numPr>
        <w:kinsoku/>
        <w:wordWrap/>
        <w:overflowPunct/>
        <w:topLinePunct w:val="0"/>
        <w:autoSpaceDE/>
        <w:autoSpaceDN/>
        <w:bidi w:val="0"/>
        <w:adjustRightInd/>
        <w:snapToGrid/>
        <w:spacing w:after="0" w:line="560" w:lineRule="exact"/>
        <w:ind w:left="-10" w:leftChars="0" w:firstLine="640" w:firstLineChars="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William Ong</w:t>
      </w:r>
    </w:p>
    <w:p w14:paraId="57C48D55">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William是安盛律师事务所合伙人，现任律所诉讼与争议解决部联合主管，其执业领域涵盖国际仲裁、银行诉讼、公司破产与重组以及公司诉讼业务。William在银行诉讼、金融及证券相关纠纷领域拥有丰富经验，经常代理涉及结构性产品、保证金交易、估值、担保及担保权益执行的争议案件。他亦积极参与代理客户处理公司纠纷，如股东与董事争议以及合资企业纠纷。William对损害评估与估值方法领域有特殊兴趣，他认为大多数争议最终都会涉及损害赔偿及其评估问题——他熟悉该领域的技术与法律层面，这一专长深受客户重视。《Legal 500 Asia Pacific 2020版》榜单评价William"化繁为简的能力从未令人失望，总能促成友好且（最重要的是）商业上可行的解决方案"；2019年版则指出他"能精准把握核心问题，规划战略解决方案，并充满激情地陈述法律观点"。William于2000年获得新加坡律师资格后加入律所，并于2006年成为合伙人。</w:t>
      </w:r>
    </w:p>
    <w:p w14:paraId="1D819503">
      <w:pPr>
        <w:pStyle w:val="8"/>
        <w:keepNext w:val="0"/>
        <w:keepLines w:val="0"/>
        <w:pageBreakBefore w:val="0"/>
        <w:widowControl w:val="0"/>
        <w:numPr>
          <w:ilvl w:val="0"/>
          <w:numId w:val="2"/>
        </w:numPr>
        <w:kinsoku/>
        <w:wordWrap/>
        <w:overflowPunct/>
        <w:topLinePunct w:val="0"/>
        <w:autoSpaceDE/>
        <w:autoSpaceDN/>
        <w:bidi w:val="0"/>
        <w:adjustRightInd/>
        <w:snapToGrid/>
        <w:spacing w:after="0" w:line="560" w:lineRule="exact"/>
        <w:ind w:left="-10" w:leftChars="0" w:firstLine="640" w:firstLineChars="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Lee Bik Wei</w:t>
      </w:r>
    </w:p>
    <w:p w14:paraId="6CB0BF49">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Bik Wei是安盛律师事务所合伙人，现任律所白领犯罪与调查业务部副主管。她常年为客户就白领犯罪、监管与合规、公司治理事项以及监管机构调查与企业内部调查提供法律咨询，涉及领域包括刑事背信、贪污腐败、反洗钱、市场失当行为、国际司法协助、员工行为失当、欺诈及公司治理相关事宜。Bik Wei的主要执业领域同时涵盖商业诉讼与国际仲裁。她在跨境合资争议、股东及/或董事纠纷等公司争议、财产与信托、以及劳动争议解决等领域拥有丰富经验。Bik Wei的客户包括新加坡本地企业与跨国公司（私营及上市公司）以及信托公司。她精通普通话，常年为中国客户提供法律服务。她于2008年加入律所，并于2015年成为合伙人。</w:t>
      </w:r>
    </w:p>
    <w:p w14:paraId="7611B469">
      <w:pPr>
        <w:pStyle w:val="8"/>
        <w:keepNext w:val="0"/>
        <w:keepLines w:val="0"/>
        <w:pageBreakBefore w:val="0"/>
        <w:widowControl w:val="0"/>
        <w:numPr>
          <w:ilvl w:val="0"/>
          <w:numId w:val="2"/>
        </w:numPr>
        <w:kinsoku/>
        <w:wordWrap/>
        <w:overflowPunct/>
        <w:topLinePunct w:val="0"/>
        <w:autoSpaceDE/>
        <w:autoSpaceDN/>
        <w:bidi w:val="0"/>
        <w:adjustRightInd/>
        <w:snapToGrid/>
        <w:spacing w:after="0" w:line="560" w:lineRule="exact"/>
        <w:ind w:left="-10" w:leftChars="0" w:firstLine="640" w:firstLineChars="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Lim Dao Kai</w:t>
      </w:r>
    </w:p>
    <w:p w14:paraId="5ACDBE19">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Dao Kai是安盛律师事务所合伙人。现任律所建筑工程业务部副主管。他在建筑工程及基础设施项目领域承办各类争议解决案件，执业范围同时涵盖国内外仲裁以及民事和商事诉讼事务，包括股东纠纷、董事违反职责、欺诈及劳动争议案件。在建筑工程争议解决领域，Dao Kai具有丰富经验，长期为法定机构、政府关联公司、国际开发商及承包商提供国内外仲裁、诉讼和裁决案件代理及咨询服务。Dao Kai入选《Chambers Asia Pacific 2024》建筑工程领域榜单，客户评价其为"迄今所见最优秀的律师之一，具备全面把握案件细节的卓越能力，能精准执行客户指示且毫厘不差"。凭借广泛的争议解决经验，Dao Kai曾作为代理律师代表全球跨国公司、上市公司及国有企业，参与国际商会（ICC）和新加坡国际仲裁中心（SIAC）规则的国内外仲裁案件，并在新加坡法院（包括新加坡国际商业法庭）代理诉讼案件。Dao Kai精通普通话，经常为涉及中方当事人的争议案件提供咨询和代理服务。他于2006年获得新加坡律师资格后加入律所，并于2013年成为合伙人。</w:t>
      </w:r>
    </w:p>
    <w:p w14:paraId="35270A6D">
      <w:pPr>
        <w:pStyle w:val="8"/>
        <w:keepNext w:val="0"/>
        <w:keepLines w:val="0"/>
        <w:pageBreakBefore w:val="0"/>
        <w:widowControl w:val="0"/>
        <w:numPr>
          <w:ilvl w:val="0"/>
          <w:numId w:val="2"/>
        </w:numPr>
        <w:kinsoku/>
        <w:wordWrap/>
        <w:overflowPunct/>
        <w:topLinePunct w:val="0"/>
        <w:autoSpaceDE/>
        <w:autoSpaceDN/>
        <w:bidi w:val="0"/>
        <w:adjustRightInd/>
        <w:snapToGrid/>
        <w:spacing w:after="0" w:line="560" w:lineRule="exact"/>
        <w:ind w:left="-10" w:leftChars="0" w:firstLine="640" w:firstLineChars="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楷体_GB2312" w:cs="楷体_GB2312"/>
          <w:sz w:val="32"/>
          <w:szCs w:val="32"/>
          <w:lang w:val="en-US" w:eastAsia="zh-CN"/>
        </w:rPr>
        <w:t>杜佳怡（Toh Jia Yi）</w:t>
      </w:r>
    </w:p>
    <w:p w14:paraId="512B96EF">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杜佳怡律师是安盛律师事务所合伙人，并在律所知识产权、诉讼、国际仲裁以及网络安全与数据保护业务部门的合伙人。她的主要执业领域为商业诉讼和国际仲裁，专长于涉及专利、商标、版权、外观设计、域名及机密信息的争议性和非争议性知识产权事务。</w:t>
      </w:r>
    </w:p>
    <w:p w14:paraId="46D74CA1">
      <w:pPr>
        <w:pStyle w:val="8"/>
        <w:keepNext w:val="0"/>
        <w:keepLines w:val="0"/>
        <w:pageBreakBefore w:val="0"/>
        <w:widowControl w:val="0"/>
        <w:numPr>
          <w:ilvl w:val="0"/>
          <w:numId w:val="2"/>
        </w:numPr>
        <w:kinsoku/>
        <w:wordWrap/>
        <w:overflowPunct/>
        <w:topLinePunct w:val="0"/>
        <w:autoSpaceDE/>
        <w:autoSpaceDN/>
        <w:bidi w:val="0"/>
        <w:adjustRightInd/>
        <w:snapToGrid/>
        <w:spacing w:after="0" w:line="560" w:lineRule="exact"/>
        <w:ind w:left="-10" w:leftChars="0" w:firstLine="640" w:firstLineChars="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楷体_GB2312" w:cs="楷体_GB2312"/>
          <w:sz w:val="32"/>
          <w:szCs w:val="32"/>
          <w:lang w:val="en-US" w:eastAsia="zh-CN"/>
        </w:rPr>
        <w:t>曾福庆</w:t>
      </w:r>
      <w:r>
        <w:rPr>
          <w:rFonts w:hint="eastAsia" w:ascii="Times New Roman" w:hAnsi="Times New Roman" w:eastAsia="仿宋_GB2312" w:cs="仿宋_GB2312"/>
          <w:sz w:val="32"/>
          <w:szCs w:val="32"/>
          <w:lang w:val="en-US" w:eastAsia="zh-CN"/>
        </w:rPr>
        <w:t>（Chan Hock Keng）</w:t>
      </w:r>
    </w:p>
    <w:p w14:paraId="6DAACAC4">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曾福庆律师是王律师事务所合伙人、商业和公司争议业务的联席主管，也是国际仲裁业务的合伙人。他活跃于新加坡法院和仲裁领域,并担任仲裁员，处理以英文或中文进行的协议仲裁。曾律师是代表新加坡医生的全国性组织新加坡医学会的名誉法律顾问、调查委员会的小组成员以及首席大法官任命的纪律法庭成员，负责审理针对律师的投诉。他还是新加坡中华总商会理事会的名誉成员。他是英国特许仲裁员协会的特许仲裁员和新加坡国际仲裁中心仲裁院的成员。他也是香港国际仲裁中心、北京国际仲裁中心、韩国商事仲裁委员会、深圳国际仲裁院、上海国际仲裁中心、亚洲国际仲裁中心、泰国仲裁中心、日本商事仲裁协会、婆罗洲国际仲裁与调解中心、武汉仲裁委员会和海南国际仲裁院等仲裁中心的成员。自2012年以来，他的仲裁裁决(经编辑后)一直刊登在律商联讯(LexisNexis)的《新加坡仲裁裁决》上。曾律师是Sitra Holdings (International) 的独立董事。曾律师以 "一等荣誉" 毕业于布里斯托大学，并被授予 "Sweet &amp; Maxwell法律奖"。次年，他在英国律师考试中获得第五名，并在1994年被获准为新加坡律师。在1995年进入律所之前，他曾担任首席大法官的文员。曾律师还被列入英格兰和威尔士律师名册。</w:t>
      </w:r>
    </w:p>
    <w:p w14:paraId="48375651">
      <w:pPr>
        <w:pStyle w:val="8"/>
        <w:keepNext w:val="0"/>
        <w:keepLines w:val="0"/>
        <w:pageBreakBefore w:val="0"/>
        <w:widowControl w:val="0"/>
        <w:numPr>
          <w:ilvl w:val="0"/>
          <w:numId w:val="2"/>
        </w:numPr>
        <w:kinsoku/>
        <w:wordWrap/>
        <w:overflowPunct/>
        <w:topLinePunct w:val="0"/>
        <w:autoSpaceDE/>
        <w:autoSpaceDN/>
        <w:bidi w:val="0"/>
        <w:adjustRightInd/>
        <w:snapToGrid/>
        <w:spacing w:after="0" w:line="560" w:lineRule="exact"/>
        <w:ind w:left="-10" w:leftChars="0" w:firstLine="640" w:firstLineChars="0"/>
        <w:textAlignment w:val="auto"/>
        <w:rPr>
          <w:rFonts w:hint="eastAsia" w:ascii="Times New Roman" w:hAnsi="Times New Roman" w:eastAsia="楷体_GB2312" w:cs="楷体_GB2312"/>
          <w:sz w:val="32"/>
          <w:szCs w:val="32"/>
          <w:lang w:val="en-US" w:eastAsia="zh-CN"/>
        </w:rPr>
      </w:pPr>
      <w:r>
        <w:rPr>
          <w:rFonts w:hint="eastAsia" w:ascii="Times New Roman" w:hAnsi="Times New Roman" w:eastAsia="楷体_GB2312" w:cs="楷体_GB2312"/>
          <w:sz w:val="32"/>
          <w:szCs w:val="32"/>
          <w:lang w:val="en-US" w:eastAsia="zh-CN"/>
        </w:rPr>
        <w:t>张德玮（Tiong Teck Wee）</w:t>
      </w:r>
    </w:p>
    <w:p w14:paraId="49998376">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Tiong Teck Wee是王律师事务所（WongPartnership）商业与公司争议解决业务部及国际仲裁业务部的合伙人，并兼任可持续发展与责任商业业务部联合主管。Tiong Teck Wee的主要执业领域为处理复杂、高标的额、跨境、多法域的商业与公司争议案件。Tiong Teck Wee曾代表全球跨国公司、国有实体、上市及私营企业以及来自不同司法管辖区（如新加坡、马来西亚、印度、日本、中国和美国）的高净值人士，在新加坡法院进行诉讼，并参与由主要仲裁机构（如新加坡国际仲裁中心SIAC和国际商会ICC）管理的国际仲裁案件，以及适用《联合国国际贸易法委员会仲裁规则》的临时仲裁案件。他还积极代理投资者与东道国之间的投资者-东道国争端及投资条约仲裁案件。Tiong Teck Wee代理的客户争议案件涵盖多个行业领域，包括合同纠纷、股东及合资争议、公司欺诈与管理不善及少数股东压迫索赔、并购、私募股权、银行与金融、大宗商品交易、能源、房地产及基础设施纠纷等。他经常就仲裁裁决的执行、撤销和/或挑战仲裁裁决、申请临时救济和禁令救济以及其他仲裁相关事项在新加坡法院出庭。Tiong Teck Wee中文流利，在代理中国客户及以中文为仲裁语言的国际仲裁案件方面拥有丰富经验。除执业外，Tiong Teck Wee兼任新加坡国立大学法学院讲师，讲授"国际法律程序"课程，并担任"国际仲裁高级实务"模块客座讲师。同时，他也在新加坡管理大学"新加坡创业全周期"课程中担任客座讲师。Tiong Teck Wee毕业于新加坡国立大学，获得新加坡律师资格。</w:t>
      </w:r>
    </w:p>
    <w:p w14:paraId="1026E490">
      <w:pPr>
        <w:pStyle w:val="8"/>
        <w:keepNext w:val="0"/>
        <w:keepLines w:val="0"/>
        <w:pageBreakBefore w:val="0"/>
        <w:widowControl w:val="0"/>
        <w:numPr>
          <w:ilvl w:val="0"/>
          <w:numId w:val="2"/>
        </w:numPr>
        <w:kinsoku/>
        <w:wordWrap/>
        <w:overflowPunct/>
        <w:topLinePunct w:val="0"/>
        <w:autoSpaceDE/>
        <w:autoSpaceDN/>
        <w:bidi w:val="0"/>
        <w:adjustRightInd/>
        <w:snapToGrid/>
        <w:spacing w:after="0" w:line="560" w:lineRule="exact"/>
        <w:ind w:left="-10" w:leftChars="0" w:firstLine="640" w:firstLineChars="0"/>
        <w:textAlignment w:val="auto"/>
        <w:rPr>
          <w:rFonts w:hint="eastAsia" w:ascii="Times New Roman" w:hAnsi="Times New Roman" w:eastAsia="仿宋_GB2312" w:cs="仿宋_GB2312"/>
          <w:sz w:val="32"/>
          <w:szCs w:val="32"/>
          <w:lang w:val="en-US" w:eastAsia="zh-CN"/>
        </w:rPr>
      </w:pPr>
      <w:r>
        <w:rPr>
          <w:rFonts w:hint="eastAsia" w:ascii="楷体_GB2312" w:hAnsi="楷体_GB2312" w:eastAsia="楷体_GB2312" w:cs="楷体_GB2312"/>
          <w:sz w:val="32"/>
          <w:szCs w:val="32"/>
          <w:lang w:val="en-US" w:eastAsia="zh-CN"/>
        </w:rPr>
        <w:t>庄子钊</w:t>
      </w:r>
      <w:r>
        <w:rPr>
          <w:rFonts w:hint="eastAsia" w:ascii="Times New Roman" w:hAnsi="Times New Roman" w:eastAsia="仿宋_GB2312" w:cs="仿宋_GB2312"/>
          <w:sz w:val="32"/>
          <w:szCs w:val="32"/>
          <w:lang w:val="en-US" w:eastAsia="zh-CN"/>
        </w:rPr>
        <w:t>（Joel Chng）</w:t>
      </w:r>
    </w:p>
    <w:p w14:paraId="090A2147">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庄子钊律师是王律师事务所重组和破产和特殊情况咨询业务组的合伙人。庄律师的主要业务领域涉及银行和商业交易、公司和股东纠纷、重组和破产事项的诉讼和仲裁业务。在重组和破产业务方面，庄律师为公司债务人、破产重组专业人员和投资人提供代理服务。庄律师曾被列入新加坡最高法院2013年度青年法庭之友的名单，并曾在Kee Lek Choan诉PP案(MA No. 8 of 2014)和Mohammed Ibrahim s/o Hamzah诉PP案 ([2015] 1 SLR 1081)(此案中，高等法院的三人法官小组称赞他提供了 "宝贵的帮助" )这两起案件中被任命为法庭之友。庄律师毕业于新加坡国立大学，获颁《院长嘉许名单》，并因被评选为刑事法专业的最佳学生而获得Peter English纪念奖和法律协会图书奖。庄律师拥有新加坡律师资格。</w:t>
      </w:r>
    </w:p>
    <w:p w14:paraId="2EEFD60A">
      <w:pPr>
        <w:pStyle w:val="8"/>
        <w:keepNext w:val="0"/>
        <w:keepLines w:val="0"/>
        <w:pageBreakBefore w:val="0"/>
        <w:widowControl w:val="0"/>
        <w:numPr>
          <w:ilvl w:val="0"/>
          <w:numId w:val="2"/>
        </w:numPr>
        <w:kinsoku/>
        <w:wordWrap/>
        <w:overflowPunct/>
        <w:topLinePunct w:val="0"/>
        <w:autoSpaceDE/>
        <w:autoSpaceDN/>
        <w:bidi w:val="0"/>
        <w:adjustRightInd/>
        <w:snapToGrid/>
        <w:spacing w:after="0" w:line="560" w:lineRule="exact"/>
        <w:ind w:left="-10" w:leftChars="0" w:firstLine="640" w:firstLineChars="0"/>
        <w:textAlignment w:val="auto"/>
        <w:rPr>
          <w:rFonts w:hint="eastAsia" w:ascii="Times New Roman" w:hAnsi="Times New Roman" w:eastAsia="仿宋_GB2312" w:cs="仿宋_GB2312"/>
          <w:sz w:val="32"/>
          <w:szCs w:val="32"/>
          <w:lang w:val="en-US" w:eastAsia="zh-CN"/>
        </w:rPr>
      </w:pPr>
      <w:r>
        <w:rPr>
          <w:rFonts w:hint="eastAsia" w:ascii="楷体_GB2312" w:hAnsi="楷体_GB2312" w:eastAsia="楷体_GB2312" w:cs="楷体_GB2312"/>
          <w:sz w:val="32"/>
          <w:szCs w:val="32"/>
          <w:lang w:val="en-US" w:eastAsia="zh-CN"/>
        </w:rPr>
        <w:t>田孝明</w:t>
      </w:r>
      <w:r>
        <w:rPr>
          <w:rFonts w:hint="eastAsia" w:ascii="Times New Roman" w:hAnsi="Times New Roman" w:eastAsia="仿宋_GB2312" w:cs="仿宋_GB2312"/>
          <w:sz w:val="32"/>
          <w:szCs w:val="32"/>
          <w:lang w:val="en-US" w:eastAsia="zh-CN"/>
        </w:rPr>
        <w:t>（Charles Tian）</w:t>
      </w:r>
    </w:p>
    <w:p w14:paraId="302330CA">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田律师是新加坡王律师事务所国际仲裁业务部高级律师，毕业于纽约大学，拥有中国及美国纽约州律师职业资格。田老师的执业领域包括国际商事仲裁、投资仲裁以及中国相关的争议解决。田律师擅长处理大量复杂、争议金额大以及跨境的商事及投资争议，且经常在适用主要仲裁规则的国际仲裁案件中出庭。田律师曾在《环球仲裁评论》以及《威科仲裁博客》发表多篇文章，且经常协助与国际仲裁相关的各种出版物。</w:t>
      </w:r>
    </w:p>
    <w:p w14:paraId="46189EC7">
      <w:pPr>
        <w:pStyle w:val="8"/>
        <w:keepNext w:val="0"/>
        <w:keepLines w:val="0"/>
        <w:pageBreakBefore w:val="0"/>
        <w:widowControl w:val="0"/>
        <w:numPr>
          <w:ilvl w:val="0"/>
          <w:numId w:val="2"/>
        </w:numPr>
        <w:kinsoku/>
        <w:wordWrap/>
        <w:overflowPunct/>
        <w:topLinePunct w:val="0"/>
        <w:autoSpaceDE/>
        <w:autoSpaceDN/>
        <w:bidi w:val="0"/>
        <w:adjustRightInd/>
        <w:snapToGrid/>
        <w:spacing w:after="0" w:line="560" w:lineRule="exact"/>
        <w:ind w:left="-10" w:leftChars="0" w:firstLine="640" w:firstLineChars="0"/>
        <w:textAlignment w:val="auto"/>
        <w:rPr>
          <w:rFonts w:hint="eastAsia" w:ascii="Times New Roman" w:hAnsi="Times New Roman" w:eastAsia="仿宋_GB2312" w:cs="仿宋_GB2312"/>
          <w:sz w:val="32"/>
          <w:szCs w:val="32"/>
          <w:lang w:val="en-US" w:eastAsia="zh-CN"/>
        </w:rPr>
      </w:pPr>
      <w:r>
        <w:rPr>
          <w:rFonts w:hint="eastAsia" w:ascii="楷体_GB2312" w:hAnsi="楷体_GB2312" w:eastAsia="楷体_GB2312" w:cs="楷体_GB2312"/>
          <w:sz w:val="32"/>
          <w:szCs w:val="32"/>
          <w:lang w:val="en-US" w:eastAsia="zh-CN"/>
        </w:rPr>
        <w:t>徐振洋</w:t>
      </w:r>
      <w:r>
        <w:rPr>
          <w:rFonts w:hint="eastAsia" w:ascii="Times New Roman" w:hAnsi="Times New Roman" w:eastAsia="仿宋_GB2312" w:cs="仿宋_GB2312"/>
          <w:sz w:val="32"/>
          <w:szCs w:val="32"/>
          <w:lang w:val="en-US" w:eastAsia="zh-CN"/>
        </w:rPr>
        <w:t>（See Chem Yang）</w:t>
      </w:r>
    </w:p>
    <w:p w14:paraId="3E283B18">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徐振洋律师是Drew &amp; Napier董事、银行业和商业事务诉讼律师，同时拥有丰富的调解经验。徐振洋律师在有担保和无担保金融工具、债务追偿、破产和无力偿付方面拥有精深专长。除了银行业诉讼外，徐振洋律师还就广泛问题提供咨询，如诽谤、合同索赔、医疗和其他行业的失职或过失，以及房东与租户之间的纠纷。他还在违反受托责任和股东纠纷等公司商业事务方面拥有丰富经验。徐振洋律师还曾在离婚、解除婚姻关系和法定分居及其他附属事宜为客户提供意见并代理诉讼。他还针对《个人资料保护法令》(PDPA) 在新加坡的实施以及作为一项全球政策的一部分而引发的资料保护事件，向客户提供意见。他为客户举办内部培训班，并与新加坡法律学会合作举办公开培训，让资料保护负责人员及其他参与者了解《个人资料保护法令》的知识并掌握相关技能，以便符合和遵守《个人资料保护法令》的要求。徐振洋律师是一位经验丰富的调解员，也是新加坡调解中心委任的主要调解员及会员中最年轻的调解人之一。他定期教授调解课程，并为文莱、泰国和缅甸的司法机构授课。</w:t>
      </w:r>
    </w:p>
    <w:p w14:paraId="667346F5">
      <w:pPr>
        <w:pStyle w:val="8"/>
        <w:keepNext w:val="0"/>
        <w:keepLines w:val="0"/>
        <w:pageBreakBefore w:val="0"/>
        <w:widowControl w:val="0"/>
        <w:numPr>
          <w:ilvl w:val="0"/>
          <w:numId w:val="2"/>
        </w:numPr>
        <w:kinsoku/>
        <w:wordWrap/>
        <w:overflowPunct/>
        <w:topLinePunct w:val="0"/>
        <w:autoSpaceDE/>
        <w:autoSpaceDN/>
        <w:bidi w:val="0"/>
        <w:adjustRightInd/>
        <w:snapToGrid/>
        <w:spacing w:after="0" w:line="560" w:lineRule="exact"/>
        <w:ind w:left="-10" w:leftChars="0" w:firstLine="640" w:firstLineChars="0"/>
        <w:textAlignment w:val="auto"/>
        <w:rPr>
          <w:rFonts w:hint="eastAsia" w:ascii="Times New Roman" w:hAnsi="Times New Roman" w:eastAsia="仿宋_GB2312" w:cs="仿宋_GB2312"/>
          <w:sz w:val="32"/>
          <w:szCs w:val="32"/>
          <w:lang w:val="en-US" w:eastAsia="zh-CN"/>
        </w:rPr>
      </w:pPr>
      <w:r>
        <w:rPr>
          <w:rFonts w:hint="eastAsia" w:ascii="楷体_GB2312" w:hAnsi="楷体_GB2312" w:eastAsia="楷体_GB2312" w:cs="楷体_GB2312"/>
          <w:sz w:val="32"/>
          <w:szCs w:val="32"/>
          <w:lang w:val="en-US" w:eastAsia="zh-CN"/>
        </w:rPr>
        <w:t xml:space="preserve">符月敏 </w:t>
      </w:r>
      <w:r>
        <w:rPr>
          <w:rFonts w:hint="eastAsia" w:ascii="Times New Roman" w:hAnsi="Times New Roman" w:eastAsia="仿宋_GB2312" w:cs="仿宋_GB2312"/>
          <w:sz w:val="32"/>
          <w:szCs w:val="32"/>
          <w:lang w:val="en-US" w:eastAsia="zh-CN"/>
        </w:rPr>
        <w:t>（Foo Yuet Min）</w:t>
      </w:r>
    </w:p>
    <w:p w14:paraId="268C1024">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符月敏律师是Drew &amp; Napier 争议解决部门董事，于2006年以一等荣誉学位毕业于新加坡国立大学。在2008年加入德尊之前，符律师曾担任新加坡高等法院的书记员。2010年和2011年她还被任命为新加坡高等法院青年法庭之友计划的成员。 符月敏律师主要就与各种商业合同相关的民事纠纷向客户提供咨询，旨在为客户提供在商业上可行的方案。一位客户称赞她 “非常熟练” 并且“非常致力于满足客户的需求”。 符月敏律师经常以首席律师的身份在新加坡法院出庭。除了保持积极的诉讼实践外，符月敏律师的许多事务都涉及 SIAC 和 ICC 仲裁以及与仲裁相关的法庭程序。她在处理多语种诉讼程序(包括法庭和仲裁) 方面特别有经验及兴趣，并根据《贸易法委员会仲裁规则》进行了双语国际仲裁。她曾被任命为 SIAC、ICC和特设国际仲裁的仲裁员，也是SIAC预备仲裁小组的仲裁员。她还根据加急程序进行了SIAC仲裁。符月敏律师会讲英文、普通话、马来语和闽南话。</w:t>
      </w:r>
    </w:p>
    <w:p w14:paraId="4C90E6BD">
      <w:pPr>
        <w:pStyle w:val="8"/>
        <w:keepNext w:val="0"/>
        <w:keepLines w:val="0"/>
        <w:pageBreakBefore w:val="0"/>
        <w:widowControl w:val="0"/>
        <w:numPr>
          <w:ilvl w:val="0"/>
          <w:numId w:val="2"/>
        </w:numPr>
        <w:kinsoku/>
        <w:wordWrap/>
        <w:overflowPunct/>
        <w:topLinePunct w:val="0"/>
        <w:autoSpaceDE/>
        <w:autoSpaceDN/>
        <w:bidi w:val="0"/>
        <w:adjustRightInd/>
        <w:snapToGrid/>
        <w:spacing w:after="0" w:line="560" w:lineRule="exact"/>
        <w:ind w:left="-10" w:leftChars="0" w:firstLine="640" w:firstLineChars="0"/>
        <w:textAlignment w:val="auto"/>
        <w:rPr>
          <w:rFonts w:hint="eastAsia" w:ascii="Times New Roman" w:hAnsi="Times New Roman" w:eastAsia="仿宋_GB2312" w:cs="仿宋_GB2312"/>
          <w:sz w:val="32"/>
          <w:szCs w:val="32"/>
          <w:lang w:val="en-US" w:eastAsia="zh-CN"/>
        </w:rPr>
      </w:pPr>
      <w:r>
        <w:rPr>
          <w:rFonts w:hint="eastAsia" w:ascii="楷体_GB2312" w:hAnsi="楷体_GB2312" w:eastAsia="楷体_GB2312" w:cs="楷体_GB2312"/>
          <w:sz w:val="32"/>
          <w:szCs w:val="32"/>
          <w:lang w:val="en-US" w:eastAsia="zh-CN"/>
        </w:rPr>
        <w:t>丘健雄</w:t>
      </w:r>
      <w:r>
        <w:rPr>
          <w:rFonts w:hint="eastAsia" w:ascii="Times New Roman" w:hAnsi="Times New Roman" w:eastAsia="仿宋_GB2312" w:cs="仿宋_GB2312"/>
          <w:sz w:val="32"/>
          <w:szCs w:val="32"/>
          <w:lang w:val="en-US" w:eastAsia="zh-CN"/>
        </w:rPr>
        <w:t>（Hew Kian Heong）</w:t>
      </w:r>
    </w:p>
    <w:p w14:paraId="6DB8F42A">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丘健雄律师是Rajah &amp; Tann合伙人，拥有逾30年经验，就世界多地的大型基础设施、项目和施工争议为中国及国际客户提供咨询服务。他是目前在中国工作与生活的国际建设工程、项目及基础设施领域领先律师之一。丘健雄律师经常就复杂的跨境施工争议为客户提供建议。他精通英语、普通话和粤语，频繁代表及协助中国和国际客户处理中国、香港特别行政区、新加坡、斯德哥尔摩、日内瓦和伦敦等多个司法管辖区的诉讼、仲裁及调解案件。丘健雄律师常驻于上海和北京两地，经常应中国对外承包工程商会和清华大学等中国各机构邀请，在其主办的研讨会和工作坊上就中国及国际合同范本和建设法问题发表演讲。他受聘为中国国际经济贸易仲裁委员会（CIETAC）仲裁员，并以律师和仲裁员身份参与贸仲仲裁案件，同时也是贸仲建设工程争议评审专家名录成员。他还担任北京仲裁委员会/北京国际仲裁中心、上海国际经济贸易仲裁委员会（上海国际仲裁中心）仲裁员，以及中国国际工程咨询协会法律专家委员会专家。全球法律名录对丘健雄律师的认可印证了他的丰富经验。</w:t>
      </w:r>
    </w:p>
    <w:p w14:paraId="18C27130">
      <w:pPr>
        <w:pStyle w:val="8"/>
        <w:keepNext w:val="0"/>
        <w:keepLines w:val="0"/>
        <w:pageBreakBefore w:val="0"/>
        <w:widowControl w:val="0"/>
        <w:numPr>
          <w:ilvl w:val="0"/>
          <w:numId w:val="2"/>
        </w:numPr>
        <w:kinsoku/>
        <w:wordWrap/>
        <w:overflowPunct/>
        <w:topLinePunct w:val="0"/>
        <w:autoSpaceDE/>
        <w:autoSpaceDN/>
        <w:bidi w:val="0"/>
        <w:adjustRightInd/>
        <w:snapToGrid/>
        <w:spacing w:after="0" w:line="560" w:lineRule="exact"/>
        <w:ind w:left="-10" w:leftChars="0" w:firstLine="640" w:firstLineChars="0"/>
        <w:textAlignment w:val="auto"/>
        <w:rPr>
          <w:rFonts w:hint="eastAsia" w:ascii="Times New Roman" w:hAnsi="Times New Roman" w:eastAsia="仿宋_GB2312" w:cs="仿宋_GB2312"/>
          <w:sz w:val="32"/>
          <w:szCs w:val="32"/>
          <w:lang w:val="en-US" w:eastAsia="zh-CN"/>
        </w:rPr>
      </w:pPr>
      <w:r>
        <w:rPr>
          <w:rFonts w:hint="eastAsia" w:ascii="楷体_GB2312" w:hAnsi="楷体_GB2312" w:eastAsia="楷体_GB2312" w:cs="楷体_GB2312"/>
          <w:sz w:val="32"/>
          <w:szCs w:val="32"/>
          <w:lang w:val="en-US" w:eastAsia="zh-CN"/>
        </w:rPr>
        <w:t>邢成栋</w:t>
      </w:r>
      <w:r>
        <w:rPr>
          <w:rFonts w:hint="eastAsia" w:ascii="Times New Roman" w:hAnsi="Times New Roman" w:eastAsia="仿宋_GB2312" w:cs="仿宋_GB2312"/>
          <w:sz w:val="32"/>
          <w:szCs w:val="32"/>
          <w:lang w:val="en-US" w:eastAsia="zh-CN"/>
        </w:rPr>
        <w:t>（Xing Chengdong）</w:t>
      </w:r>
    </w:p>
    <w:p w14:paraId="4C781ADB">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邢成栋律师是是Rajah &amp; Tann律师，是一位专精于建筑和基础设施领域的国际仲裁律师，就复杂建设项目的各方面问题为中国及跨国客户提供法律咨询。邢成栋律师曾代表客户处理中国国际经济贸易仲裁委员会（CIETAC）、美国仲裁协会（AAA）、新加坡国际仲裁中心（SIAC）、韩国商事仲裁院（KCAB）及伦敦国际仲裁院（LCIA）规则下的国际仲裁案件，并在纽约最高法院商业法庭代理诉讼案件，同时参与提交至迪拜国际金融中心（DIFC）法院的案件。凭借在建筑与基础设施领域的深厚根基，邢成栋律师为众多基础设施和标志性建筑项目提供全生命周期法律服务。他曾任职于领先建筑集团的法务部门，积累了丰富的行业专业知识，能精准理解并快速应对建筑领域相关问题的特殊需求与技术细节。</w:t>
      </w:r>
    </w:p>
    <w:p w14:paraId="257D8847">
      <w:pPr>
        <w:pStyle w:val="8"/>
        <w:keepNext w:val="0"/>
        <w:keepLines w:val="0"/>
        <w:pageBreakBefore w:val="0"/>
        <w:widowControl w:val="0"/>
        <w:numPr>
          <w:ilvl w:val="0"/>
          <w:numId w:val="2"/>
        </w:numPr>
        <w:kinsoku/>
        <w:wordWrap/>
        <w:overflowPunct/>
        <w:topLinePunct w:val="0"/>
        <w:autoSpaceDE/>
        <w:autoSpaceDN/>
        <w:bidi w:val="0"/>
        <w:adjustRightInd/>
        <w:snapToGrid/>
        <w:spacing w:after="0" w:line="560" w:lineRule="exact"/>
        <w:ind w:left="-10" w:leftChars="0" w:firstLine="640" w:firstLineChars="0"/>
        <w:textAlignment w:val="auto"/>
        <w:rPr>
          <w:rFonts w:hint="eastAsia" w:ascii="Times New Roman" w:hAnsi="Times New Roman" w:eastAsia="仿宋_GB2312" w:cs="仿宋_GB2312"/>
          <w:sz w:val="32"/>
          <w:szCs w:val="32"/>
          <w:lang w:val="en-US" w:eastAsia="zh-CN"/>
        </w:rPr>
      </w:pPr>
      <w:r>
        <w:rPr>
          <w:rFonts w:hint="eastAsia" w:ascii="楷体_GB2312" w:hAnsi="楷体_GB2312" w:eastAsia="楷体_GB2312" w:cs="楷体_GB2312"/>
          <w:sz w:val="32"/>
          <w:szCs w:val="32"/>
          <w:lang w:val="en-US" w:eastAsia="zh-CN"/>
        </w:rPr>
        <w:t>郑伟元</w:t>
      </w:r>
      <w:r>
        <w:rPr>
          <w:rFonts w:hint="eastAsia" w:ascii="Times New Roman" w:hAnsi="Times New Roman" w:eastAsia="仿宋_GB2312" w:cs="仿宋_GB2312"/>
          <w:sz w:val="32"/>
          <w:szCs w:val="32"/>
          <w:lang w:val="en-US" w:eastAsia="zh-CN"/>
        </w:rPr>
        <w:t>（Mark Cheng）</w:t>
      </w:r>
    </w:p>
    <w:p w14:paraId="7D37E651">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郑伟元律师是Rajah &amp; Tann合伙人，专精于处理复杂的商业纠纷，尤其擅长处理涉及高额资金与跨境因素的股东及合资企业争议。他在危机管理领域亦经验丰富，能为客户提供全程代理服务并制定战略方案。另一项重点业务是破产与重组领域——曾为债务人、债权人和破产管理人提供法律咨询。此外，他还为高净值人士及家族提供继承、资产结构与规划方面的专业服务。郑伟元律师精通普通话并深谙中国商业文化，在大中华区代理客户处理重大争议案件方面拥有丰富经验。他于2002年获得新加坡律师资格，2009年获准成为英格兰及威尔士最高法院执业律师，并于同年成为律所合伙人。</w:t>
      </w:r>
    </w:p>
    <w:p w14:paraId="26E054A0">
      <w:pPr>
        <w:pStyle w:val="8"/>
        <w:keepNext w:val="0"/>
        <w:keepLines w:val="0"/>
        <w:pageBreakBefore w:val="0"/>
        <w:widowControl w:val="0"/>
        <w:numPr>
          <w:ilvl w:val="0"/>
          <w:numId w:val="2"/>
        </w:numPr>
        <w:kinsoku/>
        <w:wordWrap/>
        <w:overflowPunct/>
        <w:topLinePunct w:val="0"/>
        <w:autoSpaceDE/>
        <w:autoSpaceDN/>
        <w:bidi w:val="0"/>
        <w:adjustRightInd/>
        <w:snapToGrid/>
        <w:spacing w:after="0" w:line="560" w:lineRule="exact"/>
        <w:ind w:left="-10" w:leftChars="0" w:firstLine="640" w:firstLineChars="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Liu Xin</w:t>
      </w:r>
    </w:p>
    <w:p w14:paraId="2F5AE761">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Liu Xin是富而德律师事务所亚洲争议解决团队的合伙人，常驻于北京、上海和香港办公室。他专精于国际仲裁、跨境诉讼、调查及合规事务。Liu Xin拥有15年执业经验，代理过涉及跨国公司、国有企业和政府的各类跨境争议案件。这些案件包括多个司法管辖区的诉讼程序，以及在国际投资争端解决中心（ICSID）、国际商会（ICC）、新加坡国际仲裁中心（SIAC）、香港国际仲裁中心（HKIAC）、中国国际经济贸易仲裁委员会（CIETAC）、伦敦国际仲裁院（LCIA）和上海国际仲裁中心（SHIAC）受理的仲裁案件，也包括根据《联合国国际贸易法委员会仲裁规则》进行的临时仲裁。Liu Xin在美国和中国复杂的监管调查、内部调查和危机管理方面具有丰富经验，涉及涉嫌贿赂/违反《反海外腐败法》、洗钱、欺诈和违反制裁等事项。凭借参与美国司法部、证券交易委员会、外国资产控制办公室、工业和安全局、联邦通信委员会及国会等多个机构开展的知名调查，以及与中国和欧洲监管机构的合作经验，Liu Xin以深厚的专业素养协助跨国企业在亚洲（特别是涉华业务）应对调查而著称。他还帮助客户处理世界银行等多边开发银行的调查与制裁。此外，Liu Xin在数据保护和网络安全领域经验丰富，深谙如何在跨境争议、调查和合规事务中高效处理相关问题，曾为多家科技和金融科技领域的跨国企业提供法律咨询。Liu Xin曾借调至纽约办公室工作一年。在加入富而德律师事务所之前，他在北京一家领先的中国律师事务所和华盛顿特区的世界银行工作过四年。</w:t>
      </w:r>
    </w:p>
    <w:p w14:paraId="06AF652E">
      <w:pPr>
        <w:pStyle w:val="8"/>
        <w:keepNext w:val="0"/>
        <w:keepLines w:val="0"/>
        <w:pageBreakBefore w:val="0"/>
        <w:widowControl w:val="0"/>
        <w:numPr>
          <w:ilvl w:val="0"/>
          <w:numId w:val="2"/>
        </w:numPr>
        <w:kinsoku/>
        <w:wordWrap/>
        <w:overflowPunct/>
        <w:topLinePunct w:val="0"/>
        <w:autoSpaceDE/>
        <w:autoSpaceDN/>
        <w:bidi w:val="0"/>
        <w:adjustRightInd/>
        <w:snapToGrid/>
        <w:spacing w:after="0" w:line="560" w:lineRule="exact"/>
        <w:ind w:left="-10" w:leftChars="0" w:firstLine="640" w:firstLineChars="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Semantha Tan</w:t>
      </w:r>
    </w:p>
    <w:p w14:paraId="464925A4">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Semantha是富而德律师事务所合伙人, 在代理涉及跨境因素的复杂高风险争议案件方面经验丰富。Semantha在国际商事仲裁中代表客户出庭，同时在投资者-东道国仲裁中为投资者和政府提供代理服务。她曾参与根据国际投资争端解决中心（ICSID）、联合国贸易法委员会（UNCITRAL）、国际商会（ICC）、新加坡国际仲裁中心（SIAC）、亚洲国际仲裁中心（AIAC）及香港国际仲裁中心（HKIAC）仲裁规则审理的仲裁案件，涉及并购后纠纷、合资企业、工程建设、股东争议等多个领域，行业涵盖石油天然气、可再生能源、金融、生命科学、科技、房地产、汽车、消费品等。Semantha亦拥有多年在新加坡高等法院和上诉法院从事商事诉讼的执业经验，曾就职于新加坡顶尖争议解决业务团队。Semantha偶尔担任仲裁员和调解员。</w:t>
      </w:r>
    </w:p>
    <w:p w14:paraId="069AAF67">
      <w:pPr>
        <w:pStyle w:val="8"/>
        <w:keepNext w:val="0"/>
        <w:keepLines w:val="0"/>
        <w:pageBreakBefore w:val="0"/>
        <w:widowControl w:val="0"/>
        <w:numPr>
          <w:ilvl w:val="0"/>
          <w:numId w:val="2"/>
        </w:numPr>
        <w:kinsoku/>
        <w:wordWrap/>
        <w:overflowPunct/>
        <w:topLinePunct w:val="0"/>
        <w:autoSpaceDE/>
        <w:autoSpaceDN/>
        <w:bidi w:val="0"/>
        <w:adjustRightInd/>
        <w:snapToGrid/>
        <w:spacing w:after="0" w:line="560" w:lineRule="exact"/>
        <w:ind w:left="-10" w:leftChars="0" w:firstLine="640" w:firstLineChars="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Joan Lim Casanova</w:t>
      </w:r>
    </w:p>
    <w:p w14:paraId="7BEC959A">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Joan Lim-Casanova是K&amp;L Gates 律所合伙人，商业争议解决业务部成员。她拥有逾15年国际争议解决经验，处理涉及信托、保险、基础设施和可再生能源等多元领域的诉讼和仲裁案件。</w:t>
      </w:r>
    </w:p>
    <w:p w14:paraId="29830E99">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她曾为建筑、投资、银行和大宗商品等不同行业的客户提供代理服务，并经常为中国的民营和国有企业提供亚洲地区（包括新加坡、中国、印度尼西亚和越南）的争议管理和风险规避建议。</w:t>
      </w:r>
    </w:p>
    <w:p w14:paraId="759FF14D">
      <w:pPr>
        <w:pStyle w:val="8"/>
        <w:keepNext w:val="0"/>
        <w:keepLines w:val="0"/>
        <w:pageBreakBefore w:val="0"/>
        <w:widowControl w:val="0"/>
        <w:numPr>
          <w:ilvl w:val="0"/>
          <w:numId w:val="2"/>
        </w:numPr>
        <w:kinsoku/>
        <w:wordWrap/>
        <w:overflowPunct/>
        <w:topLinePunct w:val="0"/>
        <w:autoSpaceDE/>
        <w:autoSpaceDN/>
        <w:bidi w:val="0"/>
        <w:adjustRightInd/>
        <w:snapToGrid/>
        <w:spacing w:after="0" w:line="560" w:lineRule="exact"/>
        <w:ind w:left="-10" w:leftChars="0" w:firstLine="640" w:firstLineChars="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Daryl Chew</w:t>
      </w:r>
    </w:p>
    <w:p w14:paraId="3E89BECE">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Daryl为Three Crowns新加坡办公室管理合伙人。他在能源、建设工程、并购、合资企业及一般商业争议引发的仲裁案件中表现活跃，处理的案件涉及多国法律及多个仲裁地。Daryl常在机构仲裁及临时仲裁程序中担任首席仲裁员、共同仲裁员及独任仲裁员。《Chambers》与《Legal 500》盛赞其"卓越的业绩记录""出色的书面陈述能力""宝贵的战略建议"，并推荐其"始终如一的高品质工作"。名录中的客户评价其"在涉及复杂法律问题的程序中表现优异"，称其为"卓越的全能型人才""出色的辩护律师，善于将案件中最复杂的事实转化为简洁、吸引人且具有说服力的论点"。Daryl担任麦士威国际争议解决中心（Maxwell Chambers）董事会主席。该中心是新加坡综合性替代性争议解决（ADR）机构，致力于为ADR活动提供一流的设施与服务。他还在多个政府及区域仲裁委员会任职，并定期在东南亚多所大学授课。</w:t>
      </w:r>
    </w:p>
    <w:p w14:paraId="62A48894">
      <w:pPr>
        <w:pStyle w:val="8"/>
        <w:keepNext w:val="0"/>
        <w:keepLines w:val="0"/>
        <w:pageBreakBefore w:val="0"/>
        <w:widowControl w:val="0"/>
        <w:numPr>
          <w:ilvl w:val="0"/>
          <w:numId w:val="2"/>
        </w:numPr>
        <w:kinsoku/>
        <w:wordWrap/>
        <w:overflowPunct/>
        <w:topLinePunct w:val="0"/>
        <w:autoSpaceDE/>
        <w:autoSpaceDN/>
        <w:bidi w:val="0"/>
        <w:adjustRightInd/>
        <w:snapToGrid/>
        <w:spacing w:after="0" w:line="560" w:lineRule="exact"/>
        <w:ind w:left="-10" w:leftChars="0" w:firstLine="640" w:firstLineChars="0"/>
        <w:textAlignment w:val="auto"/>
        <w:rPr>
          <w:rFonts w:hint="eastAsia" w:ascii="Times New Roman" w:hAnsi="Times New Roman" w:eastAsia="仿宋_GB2312" w:cs="仿宋_GB2312"/>
          <w:sz w:val="32"/>
          <w:szCs w:val="32"/>
          <w:lang w:val="en-US" w:eastAsia="zh-CN"/>
        </w:rPr>
      </w:pPr>
      <w:r>
        <w:rPr>
          <w:rFonts w:hint="eastAsia" w:ascii="楷体_GB2312" w:hAnsi="楷体_GB2312" w:eastAsia="楷体_GB2312" w:cs="楷体_GB2312"/>
          <w:sz w:val="32"/>
          <w:szCs w:val="32"/>
          <w:lang w:val="en-US" w:eastAsia="zh-CN"/>
        </w:rPr>
        <w:t>郑继伟（</w:t>
      </w:r>
      <w:r>
        <w:rPr>
          <w:rFonts w:hint="eastAsia" w:ascii="Times New Roman" w:hAnsi="Times New Roman" w:eastAsia="仿宋_GB2312" w:cs="仿宋_GB2312"/>
          <w:sz w:val="32"/>
          <w:szCs w:val="32"/>
          <w:lang w:val="en-US" w:eastAsia="zh-CN"/>
        </w:rPr>
        <w:t>Lawrence Teh）</w:t>
      </w:r>
    </w:p>
    <w:p w14:paraId="2C2DC052">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郑继伟律师是 Dentons 国际仲裁业务部全球联席主管，Dentons 瑞德诉讼与争议解决业务部高级合伙人，同时也是该业务部国际仲裁与航运小组的联席主管。他在处理商事纠纷方面拥有特别丰富的经验，包括国际贸易和商品、海事和航空、银行和金融服务、境内和境外建筑、合并、收购、合资和其他投资以及相关保险问题。郑律师向客户提供法律咨询，担任首席律师，并在新加坡法院、仲裁、调解及其他形式的争议解决中出庭。他是特许仲裁员协会（CIArb）会员、新加坡仲裁员协会（SIArb）会员，经常被委任为国际纠纷的仲裁员，根据国际商会（ICC)、新加坡国际仲裁中心（SIAC）、香港国际仲裁中心（HKIAC）、新加坡海事仲裁院（SCMA）、韩国商事仲裁院（KCAB）、亚洲国际仲裁中心（AIAC）、上海国际仲裁中心（SHIAC）和泰国仲裁中心（THAC）等国际仲裁机构的仲裁规则办理国际纠纷案件的仲裁以及临时仲裁。他是内殿律师学院（Honourable Society of the Inner Temple）的法官（海外），现任国际海事委员会（CMI）的行政官。</w:t>
      </w:r>
    </w:p>
    <w:p w14:paraId="175E7550">
      <w:pPr>
        <w:pStyle w:val="8"/>
        <w:keepNext w:val="0"/>
        <w:keepLines w:val="0"/>
        <w:pageBreakBefore w:val="0"/>
        <w:widowControl w:val="0"/>
        <w:numPr>
          <w:ilvl w:val="0"/>
          <w:numId w:val="2"/>
        </w:numPr>
        <w:kinsoku/>
        <w:wordWrap/>
        <w:overflowPunct/>
        <w:topLinePunct w:val="0"/>
        <w:autoSpaceDE/>
        <w:autoSpaceDN/>
        <w:bidi w:val="0"/>
        <w:adjustRightInd/>
        <w:snapToGrid/>
        <w:spacing w:after="0" w:line="560" w:lineRule="exact"/>
        <w:ind w:left="-10" w:leftChars="0" w:firstLine="640" w:firstLineChars="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Jennier Lim, Advocates</w:t>
      </w:r>
    </w:p>
    <w:p w14:paraId="54B4840B">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大律师 &amp; 仲裁员, Duxton Hill Chambers。Z.J. Jennifer Lim律师专注于国际争议解决与仲裁领域，代理客户处理投资者-东道国仲裁及商事仲裁案件，涉及国际投资争端解决中心（ICSID）、ICSID附加便利规则、联合国国际贸易法委员会（UNCITRAL）规则下的程序，以及仲裁地位于新加坡、香港、纽约、华盛顿特区和伦敦的国际商会（ICC）、香港国际仲裁中心（HKIAC）、新加坡国际仲裁中心（SIAC）及伦敦国际仲裁院（LCIA）仲裁案件。同时，Jennifer也担任ICC、SIAC、LCIA和HKIAC规则下的仲裁员。此外，Jennifer在跨国诉讼领域拥有丰富经验，包括仲裁相关法院程序及复杂跨境争议解决。随着监管与诉讼风险日益增加，她愈发专注于为企业提供环境、社会及治理（ESG）事务的法律咨询，并就ESG议题频繁发表演讲与著述。Jennifer持有新加坡、纽约、英格兰与威尔士（事务律师）及香港（事务律师，非执业）律师资格，精通英语和中文普通话。</w:t>
      </w:r>
    </w:p>
    <w:p w14:paraId="5734CCA3">
      <w:pPr>
        <w:pStyle w:val="8"/>
        <w:keepNext w:val="0"/>
        <w:keepLines w:val="0"/>
        <w:pageBreakBefore w:val="0"/>
        <w:widowControl w:val="0"/>
        <w:numPr>
          <w:ilvl w:val="0"/>
          <w:numId w:val="2"/>
        </w:numPr>
        <w:kinsoku/>
        <w:wordWrap/>
        <w:overflowPunct/>
        <w:topLinePunct w:val="0"/>
        <w:autoSpaceDE/>
        <w:autoSpaceDN/>
        <w:bidi w:val="0"/>
        <w:adjustRightInd/>
        <w:snapToGrid/>
        <w:spacing w:after="0" w:line="560" w:lineRule="exact"/>
        <w:ind w:left="-10" w:leftChars="0" w:firstLine="640" w:firstLineChars="0"/>
        <w:textAlignment w:val="auto"/>
        <w:rPr>
          <w:rFonts w:hint="eastAsia" w:ascii="Times New Roman" w:hAnsi="Times New Roman" w:eastAsia="仿宋_GB2312" w:cs="仿宋_GB2312"/>
          <w:sz w:val="32"/>
          <w:szCs w:val="32"/>
          <w:lang w:val="en-US" w:eastAsia="zh-CN"/>
        </w:rPr>
      </w:pPr>
      <w:r>
        <w:rPr>
          <w:rFonts w:hint="eastAsia" w:ascii="楷体_GB2312" w:hAnsi="楷体_GB2312" w:eastAsia="楷体_GB2312" w:cs="楷体_GB2312"/>
          <w:sz w:val="32"/>
          <w:szCs w:val="32"/>
          <w:lang w:val="en-US" w:eastAsia="zh-CN"/>
        </w:rPr>
        <w:t>陈晓晖</w:t>
      </w:r>
      <w:r>
        <w:rPr>
          <w:rFonts w:hint="eastAsia" w:ascii="Times New Roman" w:hAnsi="Times New Roman" w:eastAsia="仿宋_GB2312" w:cs="仿宋_GB2312"/>
          <w:sz w:val="32"/>
          <w:szCs w:val="32"/>
          <w:lang w:val="en-US" w:eastAsia="zh-CN"/>
        </w:rPr>
        <w:t>（Darius Chan）</w:t>
      </w:r>
    </w:p>
    <w:p w14:paraId="18064B75">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陈晓晖副教授是一位跨境投资和争端解决律师。他精通中英双语，经常被任命为商业和投资纠纷的仲裁员、专家证人或律师。他经常为投资者、国有企业和政府提供风控和国际法律服务。陈晓晖副教授拥有纽约、英国和新加坡的律师资格，经常被任命为涉及各种法律争议的仲裁员。他也拥有进行大规模内部调查的经验。此外，陈晓晖副教授作为独立法律专家也有丰富经验。他曾就新加坡合同法、</w:t>
      </w:r>
      <w:bookmarkStart w:id="0" w:name="_GoBack"/>
      <w:bookmarkEnd w:id="0"/>
      <w:r>
        <w:rPr>
          <w:rFonts w:hint="eastAsia" w:ascii="Times New Roman" w:hAnsi="Times New Roman" w:eastAsia="仿宋_GB2312" w:cs="仿宋_GB2312"/>
          <w:sz w:val="32"/>
          <w:szCs w:val="32"/>
          <w:lang w:val="en-US" w:eastAsia="zh-CN"/>
        </w:rPr>
        <w:t>国际私法、民事诉讼和仲裁法律及实践等领域提供法律意见，供美国、瑞士、香港和中国法院使用。他曾在中国、香港、韩国、日本、泰国、印度尼西亚、越南、马来西亚、文莱、英国和奥地利的活动中进行培训并发表演讲。从新加坡国立大学法学院以一等荣誉毕业后，他曾担任新加坡最高法院助理司法主簿官，然后加入大型国际律所在英国和香港执业。与此同时，他也拥纽约大学法学院的硕士学位。</w:t>
      </w:r>
    </w:p>
    <w:p w14:paraId="1548FB26">
      <w:pPr>
        <w:widowControl/>
        <w:tabs>
          <w:tab w:val="center" w:pos="4368"/>
          <w:tab w:val="right" w:pos="8306"/>
        </w:tabs>
        <w:spacing w:line="240" w:lineRule="exact"/>
        <w:jc w:val="left"/>
        <w:rPr>
          <w:rFonts w:hint="eastAsia" w:ascii="Times New Roman" w:hAnsi="Times New Roman" w:eastAsia="仿宋_GB2312" w:cs="仿宋_GB2312"/>
          <w:sz w:val="32"/>
          <w:szCs w:val="32"/>
          <w:lang w:val="en-US" w:eastAsia="zh-CN"/>
        </w:rPr>
      </w:pPr>
    </w:p>
    <w:sectPr>
      <w:footerReference r:id="rId3" w:type="default"/>
      <w:pgSz w:w="11906" w:h="16838"/>
      <w:pgMar w:top="2098" w:right="1474" w:bottom="1984" w:left="1587" w:header="851" w:footer="992" w:gutter="0"/>
      <w:pgNumType w:fmt="decimal"/>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253737C-A5EE-41A1-97BD-B0B40130C35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Palatino Linotype">
    <w:panose1 w:val="02040502050505030304"/>
    <w:charset w:val="00"/>
    <w:family w:val="roman"/>
    <w:pitch w:val="default"/>
    <w:sig w:usb0="E0000287" w:usb1="40000013" w:usb2="00000000" w:usb3="00000000" w:csb0="2000019F" w:csb1="00000000"/>
  </w:font>
  <w:font w:name="Batang">
    <w:altName w:val="Malgun Gothic"/>
    <w:panose1 w:val="02030600000101010101"/>
    <w:charset w:val="81"/>
    <w:family w:val="roman"/>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 w:name="方正小标宋简体">
    <w:panose1 w:val="02010600010101010101"/>
    <w:charset w:val="86"/>
    <w:family w:val="script"/>
    <w:pitch w:val="default"/>
    <w:sig w:usb0="00000001" w:usb1="080E0000" w:usb2="00000000" w:usb3="00000000" w:csb0="00040000" w:csb1="00000000"/>
    <w:embedRegular r:id="rId2" w:fontKey="{855C3DBD-DEC9-41AB-8DD4-1695093CCC01}"/>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embedRegular r:id="rId3" w:fontKey="{661EB350-F452-467F-8489-C71C2C0D5F03}"/>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embedRegular r:id="rId4" w:fontKey="{28CC5203-4013-446D-BF98-D0B75042851E}"/>
  </w:font>
  <w:font w:name="FangSong_GB2312">
    <w:altName w:val="仿宋_GB2312"/>
    <w:panose1 w:val="020B0604020202020204"/>
    <w:charset w:val="86"/>
    <w:family w:val="auto"/>
    <w:pitch w:val="default"/>
    <w:sig w:usb0="00000000" w:usb1="00000000" w:usb2="00000000" w:usb3="00000000" w:csb0="00040000" w:csb1="00000000"/>
  </w:font>
  <w:font w:name="Songti SC">
    <w:altName w:val="宋体"/>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567CFF">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-228600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724DC1D">
                          <w:pPr>
                            <w:pStyle w:val="5"/>
                            <w:rPr>
                              <w:rFonts w:hint="eastAsia" w:ascii="宋体" w:hAnsi="宋体" w:eastAsia="宋体" w:cs="宋体"/>
                              <w:sz w:val="28"/>
                              <w:szCs w:val="40"/>
                            </w:rPr>
                          </w:pPr>
                          <w:r>
                            <w:rPr>
                              <w:rFonts w:hint="eastAsia" w:ascii="宋体" w:hAnsi="宋体" w:eastAsia="宋体" w:cs="宋体"/>
                              <w:sz w:val="28"/>
                              <w:szCs w:val="40"/>
                            </w:rPr>
                            <w:t xml:space="preserve">— </w:t>
                          </w:r>
                          <w:r>
                            <w:rPr>
                              <w:rFonts w:hint="eastAsia" w:ascii="宋体" w:hAnsi="宋体" w:eastAsia="宋体" w:cs="宋体"/>
                              <w:sz w:val="28"/>
                              <w:szCs w:val="40"/>
                            </w:rPr>
                            <w:fldChar w:fldCharType="begin"/>
                          </w:r>
                          <w:r>
                            <w:rPr>
                              <w:rFonts w:hint="eastAsia" w:ascii="宋体" w:hAnsi="宋体" w:eastAsia="宋体" w:cs="宋体"/>
                              <w:sz w:val="28"/>
                              <w:szCs w:val="40"/>
                            </w:rPr>
                            <w:instrText xml:space="preserve"> PAGE  \* MERGEFORMAT </w:instrText>
                          </w:r>
                          <w:r>
                            <w:rPr>
                              <w:rFonts w:hint="eastAsia" w:ascii="宋体" w:hAnsi="宋体" w:eastAsia="宋体" w:cs="宋体"/>
                              <w:sz w:val="28"/>
                              <w:szCs w:val="40"/>
                            </w:rPr>
                            <w:fldChar w:fldCharType="separate"/>
                          </w:r>
                          <w:r>
                            <w:rPr>
                              <w:rFonts w:hint="eastAsia" w:ascii="宋体" w:hAnsi="宋体" w:eastAsia="宋体" w:cs="宋体"/>
                              <w:sz w:val="28"/>
                              <w:szCs w:val="40"/>
                            </w:rPr>
                            <w:t>1</w:t>
                          </w:r>
                          <w:r>
                            <w:rPr>
                              <w:rFonts w:hint="eastAsia" w:ascii="宋体" w:hAnsi="宋体" w:eastAsia="宋体" w:cs="宋体"/>
                              <w:sz w:val="28"/>
                              <w:szCs w:val="40"/>
                            </w:rPr>
                            <w:fldChar w:fldCharType="end"/>
                          </w:r>
                          <w:r>
                            <w:rPr>
                              <w:rFonts w:hint="eastAsia" w:ascii="宋体" w:hAnsi="宋体" w:eastAsia="宋体" w:cs="宋体"/>
                              <w:sz w:val="28"/>
                              <w:szCs w:val="40"/>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8pt;height:144pt;width:144pt;mso-position-horizontal:outside;mso-position-horizontal-relative:margin;mso-wrap-style:none;z-index:251659264;mso-width-relative:page;mso-height-relative:page;" filled="f" stroked="f" coordsize="21600,21600" o:gfxdata="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mONZ41AAAAAgBAAAPAAAAAAAAAAEAIAAAACIAAABkcnMvZG93bnJldi54&#10;bWxQSwECFAAUAAAACACHTuJAvXQbdjcCAABvBAAADgAAAAAAAAABACAAAAAjAQAAZHJzL2Uyb0Rv&#10;Yy54bWxQSwUGAAAAAAYABgBZAQAAzAUAAAAA&#10;">
              <v:fill on="f" focussize="0,0"/>
              <v:stroke on="f" weight="0.5pt"/>
              <v:imagedata o:title=""/>
              <o:lock v:ext="edit" aspectratio="f"/>
              <v:textbox inset="0mm,0mm,0mm,0mm" style="mso-fit-shape-to-text:t;">
                <w:txbxContent>
                  <w:p w14:paraId="2724DC1D">
                    <w:pPr>
                      <w:pStyle w:val="5"/>
                      <w:rPr>
                        <w:rFonts w:hint="eastAsia" w:ascii="宋体" w:hAnsi="宋体" w:eastAsia="宋体" w:cs="宋体"/>
                        <w:sz w:val="28"/>
                        <w:szCs w:val="40"/>
                      </w:rPr>
                    </w:pPr>
                    <w:r>
                      <w:rPr>
                        <w:rFonts w:hint="eastAsia" w:ascii="宋体" w:hAnsi="宋体" w:eastAsia="宋体" w:cs="宋体"/>
                        <w:sz w:val="28"/>
                        <w:szCs w:val="40"/>
                      </w:rPr>
                      <w:t xml:space="preserve">— </w:t>
                    </w:r>
                    <w:r>
                      <w:rPr>
                        <w:rFonts w:hint="eastAsia" w:ascii="宋体" w:hAnsi="宋体" w:eastAsia="宋体" w:cs="宋体"/>
                        <w:sz w:val="28"/>
                        <w:szCs w:val="40"/>
                      </w:rPr>
                      <w:fldChar w:fldCharType="begin"/>
                    </w:r>
                    <w:r>
                      <w:rPr>
                        <w:rFonts w:hint="eastAsia" w:ascii="宋体" w:hAnsi="宋体" w:eastAsia="宋体" w:cs="宋体"/>
                        <w:sz w:val="28"/>
                        <w:szCs w:val="40"/>
                      </w:rPr>
                      <w:instrText xml:space="preserve"> PAGE  \* MERGEFORMAT </w:instrText>
                    </w:r>
                    <w:r>
                      <w:rPr>
                        <w:rFonts w:hint="eastAsia" w:ascii="宋体" w:hAnsi="宋体" w:eastAsia="宋体" w:cs="宋体"/>
                        <w:sz w:val="28"/>
                        <w:szCs w:val="40"/>
                      </w:rPr>
                      <w:fldChar w:fldCharType="separate"/>
                    </w:r>
                    <w:r>
                      <w:rPr>
                        <w:rFonts w:hint="eastAsia" w:ascii="宋体" w:hAnsi="宋体" w:eastAsia="宋体" w:cs="宋体"/>
                        <w:sz w:val="28"/>
                        <w:szCs w:val="40"/>
                      </w:rPr>
                      <w:t>1</w:t>
                    </w:r>
                    <w:r>
                      <w:rPr>
                        <w:rFonts w:hint="eastAsia" w:ascii="宋体" w:hAnsi="宋体" w:eastAsia="宋体" w:cs="宋体"/>
                        <w:sz w:val="28"/>
                        <w:szCs w:val="40"/>
                      </w:rPr>
                      <w:fldChar w:fldCharType="end"/>
                    </w:r>
                    <w:r>
                      <w:rPr>
                        <w:rFonts w:hint="eastAsia" w:ascii="宋体" w:hAnsi="宋体" w:eastAsia="宋体" w:cs="宋体"/>
                        <w:sz w:val="28"/>
                        <w:szCs w:val="40"/>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E8ED77"/>
    <w:multiLevelType w:val="singleLevel"/>
    <w:tmpl w:val="89E8ED77"/>
    <w:lvl w:ilvl="0" w:tentative="0">
      <w:start w:val="2"/>
      <w:numFmt w:val="chineseCounting"/>
      <w:suff w:val="nothing"/>
      <w:lvlText w:val="%1、"/>
      <w:lvlJc w:val="left"/>
      <w:rPr>
        <w:rFonts w:hint="eastAsia"/>
      </w:rPr>
    </w:lvl>
  </w:abstractNum>
  <w:abstractNum w:abstractNumId="1">
    <w:nsid w:val="714CBB37"/>
    <w:multiLevelType w:val="singleLevel"/>
    <w:tmpl w:val="714CBB37"/>
    <w:lvl w:ilvl="0" w:tentative="0">
      <w:start w:val="1"/>
      <w:numFmt w:val="chineseCounting"/>
      <w:suff w:val="nothing"/>
      <w:lvlText w:val="（%1）"/>
      <w:lvlJc w:val="left"/>
      <w:pPr>
        <w:ind w:left="-10"/>
      </w:pPr>
      <w:rPr>
        <w:rFonts w:hint="eastAsia" w:ascii="楷体_GB2312" w:hAnsi="楷体_GB2312" w:eastAsia="楷体_GB2312" w:cs="楷体_GB2312"/>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dit="comments"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AB3BC7"/>
    <w:rsid w:val="0092667C"/>
    <w:rsid w:val="00FB60AC"/>
    <w:rsid w:val="040E4592"/>
    <w:rsid w:val="04B11640"/>
    <w:rsid w:val="04E0470D"/>
    <w:rsid w:val="04F441C1"/>
    <w:rsid w:val="06B71BC3"/>
    <w:rsid w:val="07FB58A4"/>
    <w:rsid w:val="08AF444E"/>
    <w:rsid w:val="08D64AFF"/>
    <w:rsid w:val="09705D4B"/>
    <w:rsid w:val="09CB71AC"/>
    <w:rsid w:val="0A5E508E"/>
    <w:rsid w:val="0A600591"/>
    <w:rsid w:val="0A745034"/>
    <w:rsid w:val="0EA01DD8"/>
    <w:rsid w:val="109F51E7"/>
    <w:rsid w:val="10C30DC4"/>
    <w:rsid w:val="113B1609"/>
    <w:rsid w:val="1199765C"/>
    <w:rsid w:val="128F7902"/>
    <w:rsid w:val="13E13E96"/>
    <w:rsid w:val="15ED3362"/>
    <w:rsid w:val="16225260"/>
    <w:rsid w:val="164532A1"/>
    <w:rsid w:val="17E52942"/>
    <w:rsid w:val="1A407D8B"/>
    <w:rsid w:val="1B40517C"/>
    <w:rsid w:val="1D9E3217"/>
    <w:rsid w:val="1DED6DF5"/>
    <w:rsid w:val="1EBF357F"/>
    <w:rsid w:val="20A15637"/>
    <w:rsid w:val="20BF2DFF"/>
    <w:rsid w:val="20CA48D9"/>
    <w:rsid w:val="20CD6B10"/>
    <w:rsid w:val="216F5877"/>
    <w:rsid w:val="22866D5D"/>
    <w:rsid w:val="23A4088A"/>
    <w:rsid w:val="2536579D"/>
    <w:rsid w:val="25731D7F"/>
    <w:rsid w:val="25987F52"/>
    <w:rsid w:val="25C35001"/>
    <w:rsid w:val="275163C0"/>
    <w:rsid w:val="27E70253"/>
    <w:rsid w:val="2814104E"/>
    <w:rsid w:val="288E2F16"/>
    <w:rsid w:val="29C25891"/>
    <w:rsid w:val="29FDFBD7"/>
    <w:rsid w:val="2AD134D0"/>
    <w:rsid w:val="2B4B1B15"/>
    <w:rsid w:val="2B9B6176"/>
    <w:rsid w:val="2C1D1E6D"/>
    <w:rsid w:val="2DF36570"/>
    <w:rsid w:val="31557E7B"/>
    <w:rsid w:val="32EE219B"/>
    <w:rsid w:val="3528634F"/>
    <w:rsid w:val="354C7EEA"/>
    <w:rsid w:val="35FE15D5"/>
    <w:rsid w:val="361E5856"/>
    <w:rsid w:val="373F4B52"/>
    <w:rsid w:val="377C6EB4"/>
    <w:rsid w:val="38702BA7"/>
    <w:rsid w:val="38774118"/>
    <w:rsid w:val="38AF010E"/>
    <w:rsid w:val="38D206A3"/>
    <w:rsid w:val="39627E81"/>
    <w:rsid w:val="3A4E4336"/>
    <w:rsid w:val="3BDE24A9"/>
    <w:rsid w:val="3BF16743"/>
    <w:rsid w:val="3C4D135F"/>
    <w:rsid w:val="3D040144"/>
    <w:rsid w:val="3E197BF0"/>
    <w:rsid w:val="437A29F3"/>
    <w:rsid w:val="441558F5"/>
    <w:rsid w:val="452644FF"/>
    <w:rsid w:val="45A717CF"/>
    <w:rsid w:val="48E2521F"/>
    <w:rsid w:val="49F10C60"/>
    <w:rsid w:val="4AE709A4"/>
    <w:rsid w:val="4D243B5E"/>
    <w:rsid w:val="4DCE2BA7"/>
    <w:rsid w:val="4E7074C0"/>
    <w:rsid w:val="4EC12742"/>
    <w:rsid w:val="512D233A"/>
    <w:rsid w:val="527B5D61"/>
    <w:rsid w:val="52AB3BC7"/>
    <w:rsid w:val="552611C2"/>
    <w:rsid w:val="55846FDD"/>
    <w:rsid w:val="558C43EA"/>
    <w:rsid w:val="55CE45EF"/>
    <w:rsid w:val="560E0DA5"/>
    <w:rsid w:val="572E5D14"/>
    <w:rsid w:val="57D0331F"/>
    <w:rsid w:val="58AB307A"/>
    <w:rsid w:val="594315B7"/>
    <w:rsid w:val="59853B23"/>
    <w:rsid w:val="5AB05956"/>
    <w:rsid w:val="5BA7046C"/>
    <w:rsid w:val="5D584A4A"/>
    <w:rsid w:val="5DA71969"/>
    <w:rsid w:val="5DF55733"/>
    <w:rsid w:val="5E4B3F16"/>
    <w:rsid w:val="5E4F2949"/>
    <w:rsid w:val="5E8B0727"/>
    <w:rsid w:val="5F777E2D"/>
    <w:rsid w:val="5FDB5953"/>
    <w:rsid w:val="601B50B8"/>
    <w:rsid w:val="6061582C"/>
    <w:rsid w:val="60FC5A2B"/>
    <w:rsid w:val="61B619F4"/>
    <w:rsid w:val="624060C2"/>
    <w:rsid w:val="636945C1"/>
    <w:rsid w:val="63C63150"/>
    <w:rsid w:val="67F02A95"/>
    <w:rsid w:val="689D5641"/>
    <w:rsid w:val="68E92CAD"/>
    <w:rsid w:val="69FD5C65"/>
    <w:rsid w:val="6A06437E"/>
    <w:rsid w:val="6A2442BC"/>
    <w:rsid w:val="6B115B35"/>
    <w:rsid w:val="6C6B706C"/>
    <w:rsid w:val="6CD40CD8"/>
    <w:rsid w:val="6DD45311"/>
    <w:rsid w:val="6EDCB5E8"/>
    <w:rsid w:val="6FFB2998"/>
    <w:rsid w:val="705708DB"/>
    <w:rsid w:val="70A132D9"/>
    <w:rsid w:val="71CE38F8"/>
    <w:rsid w:val="72324FB7"/>
    <w:rsid w:val="73C4767E"/>
    <w:rsid w:val="74B61D33"/>
    <w:rsid w:val="74EB70E0"/>
    <w:rsid w:val="76517CAC"/>
    <w:rsid w:val="77B64FF5"/>
    <w:rsid w:val="77D36B23"/>
    <w:rsid w:val="78EF2544"/>
    <w:rsid w:val="7A7F2025"/>
    <w:rsid w:val="7A8C3644"/>
    <w:rsid w:val="7B966419"/>
    <w:rsid w:val="7DE86014"/>
    <w:rsid w:val="7DEA41A0"/>
    <w:rsid w:val="7E4A54BE"/>
    <w:rsid w:val="7EB70070"/>
    <w:rsid w:val="7F7B4FA9"/>
    <w:rsid w:val="7FF77A2A"/>
    <w:rsid w:val="9DF20F9D"/>
    <w:rsid w:val="EF55449E"/>
    <w:rsid w:val="FDECD502"/>
    <w:rsid w:val="FFD93F24"/>
  </w:rsids>
  <m:mathPr>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rPr>
      <w:szCs w:val="24"/>
    </w:rPr>
  </w:style>
  <w:style w:type="paragraph" w:styleId="3">
    <w:name w:val="toc 5"/>
    <w:basedOn w:val="1"/>
    <w:next w:val="1"/>
    <w:qFormat/>
    <w:uiPriority w:val="0"/>
    <w:pPr>
      <w:widowControl w:val="0"/>
      <w:ind w:left="1680" w:leftChars="800"/>
      <w:jc w:val="both"/>
    </w:pPr>
    <w:rPr>
      <w:rFonts w:ascii="Times New Roman" w:hAnsi="Times New Roman" w:eastAsia="宋体" w:cs="Times New Roman"/>
      <w:kern w:val="2"/>
      <w:sz w:val="21"/>
      <w:szCs w:val="22"/>
      <w:lang w:val="en-US" w:eastAsia="zh-CN" w:bidi="ar-SA"/>
    </w:rPr>
  </w:style>
  <w:style w:type="paragraph" w:styleId="4">
    <w:name w:val="Body Text Indent"/>
    <w:basedOn w:val="1"/>
    <w:unhideWhenUsed/>
    <w:qFormat/>
    <w:uiPriority w:val="99"/>
    <w:pPr>
      <w:spacing w:after="120"/>
      <w:ind w:left="420" w:leftChars="200"/>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rPr>
      <w:sz w:val="24"/>
    </w:rPr>
  </w:style>
  <w:style w:type="paragraph" w:styleId="8">
    <w:name w:val="Body Text First Indent 2"/>
    <w:basedOn w:val="4"/>
    <w:unhideWhenUsed/>
    <w:qFormat/>
    <w:uiPriority w:val="99"/>
    <w:pPr>
      <w:ind w:firstLine="420" w:firstLineChars="200"/>
    </w:pPr>
  </w:style>
  <w:style w:type="character" w:styleId="11">
    <w:name w:val="Strong"/>
    <w:basedOn w:val="10"/>
    <w:qFormat/>
    <w:uiPriority w:val="0"/>
    <w:rPr>
      <w:b/>
    </w:rPr>
  </w:style>
  <w:style w:type="character" w:styleId="12">
    <w:name w:val="Hyperlink"/>
    <w:qFormat/>
    <w:uiPriority w:val="0"/>
    <w:rPr>
      <w:color w:val="0000FF"/>
      <w:u w:val="single"/>
    </w:rPr>
  </w:style>
  <w:style w:type="paragraph" w:customStyle="1" w:styleId="13">
    <w:name w:val="Medium Grid 21"/>
    <w:qFormat/>
    <w:uiPriority w:val="1"/>
    <w:rPr>
      <w:rFonts w:ascii="Palatino Linotype" w:hAnsi="Palatino Linotype" w:eastAsia="Batang" w:cs="Times New Roman"/>
      <w:sz w:val="22"/>
      <w:szCs w:val="22"/>
      <w:lang w:val="en-US" w:eastAsia="en-US" w:bidi="ar-SA"/>
    </w:rPr>
  </w:style>
  <w:style w:type="paragraph" w:styleId="14">
    <w:name w:val="List Paragraph"/>
    <w:basedOn w:val="1"/>
    <w:qFormat/>
    <w:uiPriority w:val="34"/>
    <w:pPr>
      <w:ind w:left="800" w:leftChars="4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20</Pages>
  <Words>9649</Words>
  <Characters>11690</Characters>
  <Lines>0</Lines>
  <Paragraphs>0</Paragraphs>
  <TotalTime>0</TotalTime>
  <ScaleCrop>false</ScaleCrop>
  <LinksUpToDate>false</LinksUpToDate>
  <CharactersWithSpaces>11905</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2024-10-19T09:52:00Z</dcterms:created>
  <dc:creator>黄子君(港澳台和外事部)</dc:creator>
  <cp:lastModifiedBy>CARMEN</cp:lastModifiedBy>
  <dcterms:modified xsi:type="dcterms:W3CDTF">2025-10-17T13:27:33Z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0E0A71E6D930472888BB47846D7CBCD9</vt:lpwstr>
  </property>
  <property fmtid="{D5CDD505-2E9C-101B-9397-08002B2CF9AE}" pid="4" name="KSOTemplateDocerSaveRecord">
    <vt:lpwstr>eyJoZGlkIjoiMjAzZTMzNzZiYWY2NTkxNDY1Mzc3MGVjNTY4Y2NiNWQiLCJ1c2VySWQiOiIzMDA0MjA5MzUifQ==</vt:lpwstr>
  </property>
</Properties>
</file>