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Bdr>
          <w:bottom w:val="single" w:color="auto" w:sz="6" w:space="1"/>
        </w:pBdr>
        <w:spacing w:before="0" w:beforeAutospacing="0" w:after="0" w:afterAutospacing="0" w:line="600" w:lineRule="atLeast"/>
        <w:jc w:val="center"/>
        <w:rPr>
          <w:rFonts w:hint="eastAsia" w:ascii="微软雅黑" w:hAnsi="微软雅黑" w:eastAsia="微软雅黑"/>
          <w:color w:val="333333"/>
          <w:sz w:val="32"/>
          <w:szCs w:val="32"/>
        </w:rPr>
      </w:pPr>
      <w:bookmarkStart w:id="0" w:name="_GoBack"/>
      <w:r>
        <w:rPr>
          <w:rFonts w:hint="eastAsia" w:ascii="微软雅黑" w:hAnsi="微软雅黑" w:eastAsia="微软雅黑"/>
          <w:color w:val="333333"/>
          <w:sz w:val="32"/>
          <w:szCs w:val="32"/>
        </w:rPr>
        <w:t>《 区块链与供应链金融白皮书（1.0版）》</w:t>
      </w:r>
    </w:p>
    <w:bookmarkEnd w:id="0"/>
    <w:p>
      <w:pPr>
        <w:rPr>
          <w:rFonts w:hint="eastAsia"/>
        </w:rPr>
      </w:pPr>
    </w:p>
    <w:p>
      <w:pPr>
        <w:pStyle w:val="3"/>
        <w:shd w:val="clear" w:color="auto" w:fill="FFFFFF"/>
        <w:spacing w:before="0" w:beforeAutospacing="0" w:after="0" w:afterAutospacing="0"/>
        <w:jc w:val="both"/>
        <w:rPr>
          <w:color w:val="333333"/>
        </w:rPr>
      </w:pPr>
    </w:p>
    <w:p>
      <w:pPr>
        <w:widowControl/>
        <w:shd w:val="clear" w:color="auto" w:fill="FFFFFF"/>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333333"/>
          <w:sz w:val="24"/>
          <w:szCs w:val="24"/>
        </w:rPr>
        <w:t xml:space="preserve">来源：中国信息通信研究院网站  </w:t>
      </w:r>
      <w:r>
        <w:rPr>
          <w:rFonts w:hint="eastAsia" w:ascii="宋体" w:hAnsi="宋体" w:eastAsia="宋体" w:cs="宋体"/>
          <w:color w:val="333333"/>
          <w:sz w:val="24"/>
          <w:szCs w:val="24"/>
          <w:shd w:val="clear" w:color="auto" w:fill="FFFFFF"/>
        </w:rPr>
        <w:t>2018年</w:t>
      </w:r>
      <w:r>
        <w:rPr>
          <w:rFonts w:hint="eastAsia" w:ascii="宋体" w:hAnsi="宋体" w:eastAsia="宋体" w:cs="宋体"/>
          <w:color w:val="333333"/>
          <w:sz w:val="24"/>
          <w:szCs w:val="24"/>
          <w:shd w:val="clear" w:color="auto" w:fill="FFFFFF"/>
          <w:lang w:val="en-US" w:eastAsia="zh-CN"/>
        </w:rPr>
        <w:t>10</w:t>
      </w:r>
      <w:r>
        <w:rPr>
          <w:rFonts w:hint="eastAsia" w:ascii="宋体" w:hAnsi="宋体" w:eastAsia="宋体" w:cs="宋体"/>
          <w:color w:val="333333"/>
          <w:sz w:val="24"/>
          <w:szCs w:val="24"/>
          <w:shd w:val="clear" w:color="auto" w:fill="FFFFFF"/>
        </w:rPr>
        <w:t xml:space="preserve">月          </w:t>
      </w: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rPr>
        <w:t xml:space="preserve"> </w:t>
      </w:r>
      <w:r>
        <w:rPr>
          <w:rFonts w:hint="eastAsia" w:ascii="宋体" w:hAnsi="宋体" w:eastAsia="宋体" w:cs="宋体"/>
          <w:color w:val="000000"/>
          <w:kern w:val="0"/>
          <w:sz w:val="24"/>
          <w:szCs w:val="24"/>
        </w:rPr>
        <w:t xml:space="preserve">律协网络委  </w:t>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fldChar w:fldCharType="begin"/>
      </w:r>
      <w:r>
        <w:rPr>
          <w:rFonts w:hint="eastAsia" w:ascii="宋体" w:hAnsi="宋体" w:eastAsia="宋体" w:cs="宋体"/>
          <w:color w:val="333333"/>
          <w:sz w:val="24"/>
          <w:szCs w:val="24"/>
          <w:shd w:val="clear" w:color="auto" w:fill="FFFFFF"/>
        </w:rPr>
        <w:instrText xml:space="preserve"> HYPERLINK "http://www.caict.ac.cn/kxyj/qwfb/bps/201811/t20181101_187987.htm" </w:instrText>
      </w:r>
      <w:r>
        <w:rPr>
          <w:rFonts w:hint="eastAsia" w:ascii="宋体" w:hAnsi="宋体" w:eastAsia="宋体" w:cs="宋体"/>
          <w:color w:val="333333"/>
          <w:sz w:val="24"/>
          <w:szCs w:val="24"/>
          <w:shd w:val="clear" w:color="auto" w:fill="FFFFFF"/>
        </w:rPr>
        <w:fldChar w:fldCharType="separate"/>
      </w:r>
      <w:r>
        <w:rPr>
          <w:rStyle w:val="7"/>
          <w:rFonts w:hint="eastAsia" w:ascii="宋体" w:hAnsi="宋体" w:eastAsia="宋体" w:cs="宋体"/>
          <w:color w:val="333333"/>
          <w:sz w:val="24"/>
          <w:szCs w:val="24"/>
          <w:shd w:val="clear" w:color="auto" w:fill="FFFFFF"/>
        </w:rPr>
        <w:t>http://www.caict.ac.cn/kxyj/qwfb/bps/201811/t20181101_187987.htm</w:t>
      </w:r>
      <w:r>
        <w:rPr>
          <w:rFonts w:hint="eastAsia" w:ascii="宋体" w:hAnsi="宋体" w:eastAsia="宋体" w:cs="宋体"/>
          <w:color w:val="333333"/>
          <w:sz w:val="24"/>
          <w:szCs w:val="24"/>
          <w:shd w:val="clear" w:color="auto" w:fill="FFFFFF"/>
        </w:rPr>
        <w:fldChar w:fldCharType="end"/>
      </w:r>
    </w:p>
    <w:p>
      <w:pPr>
        <w:spacing w:line="360" w:lineRule="auto"/>
        <w:rPr>
          <w:rFonts w:hint="eastAsia" w:ascii="宋体" w:hAnsi="宋体" w:eastAsia="宋体" w:cs="宋体"/>
          <w:color w:val="333333"/>
          <w:sz w:val="24"/>
          <w:szCs w:val="24"/>
          <w:shd w:val="clear" w:color="auto" w:fill="FFFFFF"/>
        </w:rPr>
      </w:pPr>
    </w:p>
    <w:p>
      <w:pPr>
        <w:spacing w:line="360" w:lineRule="auto"/>
        <w:jc w:val="left"/>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区块链与供应链金融白皮书（1.0版）</w:t>
      </w:r>
    </w:p>
    <w:p>
      <w:pPr>
        <w:spacing w:line="360" w:lineRule="auto"/>
        <w:jc w:val="left"/>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【出版单位】</w:t>
      </w:r>
      <w:r>
        <w:rPr>
          <w:rFonts w:hint="eastAsia" w:ascii="宋体" w:hAnsi="宋体" w:eastAsia="宋体" w:cs="宋体"/>
          <w:color w:val="333333"/>
          <w:sz w:val="24"/>
          <w:szCs w:val="24"/>
          <w:shd w:val="clear" w:color="auto" w:fill="FFFFFF"/>
          <w:lang w:eastAsia="zh-CN"/>
        </w:rPr>
        <w:tab/>
      </w:r>
      <w:r>
        <w:rPr>
          <w:rFonts w:hint="eastAsia" w:ascii="宋体" w:hAnsi="宋体" w:eastAsia="宋体" w:cs="宋体"/>
          <w:color w:val="333333"/>
          <w:sz w:val="24"/>
          <w:szCs w:val="24"/>
          <w:shd w:val="clear" w:color="auto" w:fill="FFFFFF"/>
          <w:lang w:eastAsia="zh-CN"/>
        </w:rPr>
        <w:t>可信区块链推进计划</w:t>
      </w:r>
    </w:p>
    <w:p>
      <w:pPr>
        <w:spacing w:line="360" w:lineRule="auto"/>
        <w:jc w:val="left"/>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【编写单位】</w:t>
      </w:r>
      <w:r>
        <w:rPr>
          <w:rFonts w:hint="eastAsia" w:ascii="宋体" w:hAnsi="宋体" w:eastAsia="宋体" w:cs="宋体"/>
          <w:color w:val="333333"/>
          <w:sz w:val="24"/>
          <w:szCs w:val="24"/>
          <w:shd w:val="clear" w:color="auto" w:fill="FFFFFF"/>
          <w:lang w:eastAsia="zh-CN"/>
        </w:rPr>
        <w:tab/>
      </w:r>
      <w:r>
        <w:rPr>
          <w:rFonts w:hint="eastAsia" w:ascii="宋体" w:hAnsi="宋体" w:eastAsia="宋体" w:cs="宋体"/>
          <w:color w:val="333333"/>
          <w:sz w:val="24"/>
          <w:szCs w:val="24"/>
          <w:shd w:val="clear" w:color="auto" w:fill="FFFFFF"/>
          <w:lang w:eastAsia="zh-CN"/>
        </w:rPr>
        <w:t>可信区块链推进计划</w:t>
      </w:r>
    </w:p>
    <w:p>
      <w:pPr>
        <w:spacing w:line="360" w:lineRule="auto"/>
        <w:jc w:val="left"/>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【出版时间】</w:t>
      </w:r>
      <w:r>
        <w:rPr>
          <w:rFonts w:hint="eastAsia" w:ascii="宋体" w:hAnsi="宋体" w:eastAsia="宋体" w:cs="宋体"/>
          <w:color w:val="333333"/>
          <w:sz w:val="24"/>
          <w:szCs w:val="24"/>
          <w:shd w:val="clear" w:color="auto" w:fill="FFFFFF"/>
          <w:lang w:eastAsia="zh-CN"/>
        </w:rPr>
        <w:tab/>
      </w:r>
      <w:r>
        <w:rPr>
          <w:rFonts w:hint="eastAsia" w:ascii="宋体" w:hAnsi="宋体" w:eastAsia="宋体" w:cs="宋体"/>
          <w:color w:val="333333"/>
          <w:sz w:val="24"/>
          <w:szCs w:val="24"/>
          <w:shd w:val="clear" w:color="auto" w:fill="FFFFFF"/>
          <w:lang w:eastAsia="zh-CN"/>
        </w:rPr>
        <w:t>2018.10</w:t>
      </w:r>
    </w:p>
    <w:p>
      <w:pPr>
        <w:spacing w:line="360" w:lineRule="auto"/>
        <w:jc w:val="left"/>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【摘    要】</w:t>
      </w:r>
    </w:p>
    <w:p>
      <w:pPr>
        <w:spacing w:line="360" w:lineRule="auto"/>
        <w:ind w:firstLine="480" w:firstLineChars="200"/>
        <w:jc w:val="left"/>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白皮书由中国信通院主导，联合腾讯金融科技、联易融等多家单位共同撰写完成，是区块链与供应链金融领域的一次里程碑式的白皮书。书中详细阐述了供应链金融的发展现状、产业规模及在实践中遇到的痛点，着重分析了区块链在供应链金融领域的应用价值和技术落地的切入点，通过讲解区块链+供应链金融的代表性落地案例，深入探讨了区块链未来在供应链金融场景的应用方向和在应用落地过程中的难点与思考，最后提出几点政策建议，以积极推动区块链在供应链金融领域的健康发展。 本报告主体是围绕供应链金融的现状和存在的问题，分析区块链技术与供应链金融深入契合的场景，利用区块链技术，切实解决“小微融资、小微融资贵”、“供货供给侧”、“去库存”等难题，保障处于供应链上的中小企业的资金链的稳定和资金流动的高效性，助力中小企业的发展及提高供应链的竞争力。</w:t>
      </w:r>
    </w:p>
    <w:p>
      <w:pPr>
        <w:spacing w:line="360" w:lineRule="auto"/>
        <w:ind w:firstLine="480" w:firstLineChars="200"/>
        <w:jc w:val="left"/>
        <w:rPr>
          <w:rFonts w:hint="eastAsia" w:ascii="宋体" w:hAnsi="宋体" w:eastAsia="宋体" w:cs="宋体"/>
          <w:color w:val="333333"/>
          <w:sz w:val="24"/>
          <w:szCs w:val="24"/>
          <w:shd w:val="clear" w:color="auto" w:fill="FFFFFF"/>
          <w:lang w:eastAsia="zh-CN"/>
        </w:rPr>
      </w:pPr>
    </w:p>
    <w:p>
      <w:pPr>
        <w:spacing w:line="360" w:lineRule="auto"/>
        <w:jc w:val="left"/>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下载网址：</w:t>
      </w:r>
      <w:r>
        <w:rPr>
          <w:rFonts w:hint="eastAsia" w:ascii="宋体" w:hAnsi="宋体" w:eastAsia="宋体" w:cs="宋体"/>
          <w:color w:val="333333"/>
          <w:sz w:val="24"/>
          <w:szCs w:val="24"/>
          <w:shd w:val="clear" w:color="auto" w:fill="FFFFFF"/>
          <w:lang w:eastAsia="zh-CN"/>
        </w:rPr>
        <w:fldChar w:fldCharType="begin"/>
      </w:r>
      <w:r>
        <w:rPr>
          <w:rFonts w:hint="eastAsia" w:ascii="宋体" w:hAnsi="宋体" w:eastAsia="宋体" w:cs="宋体"/>
          <w:color w:val="333333"/>
          <w:sz w:val="24"/>
          <w:szCs w:val="24"/>
          <w:shd w:val="clear" w:color="auto" w:fill="FFFFFF"/>
          <w:lang w:eastAsia="zh-CN"/>
        </w:rPr>
        <w:instrText xml:space="preserve"> HYPERLINK "http://www.caict.ac.cn/kxyj/qwfb/bps/201811/P020181101530141614382.pdf" </w:instrText>
      </w:r>
      <w:r>
        <w:rPr>
          <w:rFonts w:hint="eastAsia" w:ascii="宋体" w:hAnsi="宋体" w:eastAsia="宋体" w:cs="宋体"/>
          <w:color w:val="333333"/>
          <w:sz w:val="24"/>
          <w:szCs w:val="24"/>
          <w:shd w:val="clear" w:color="auto" w:fill="FFFFFF"/>
          <w:lang w:eastAsia="zh-CN"/>
        </w:rPr>
        <w:fldChar w:fldCharType="separate"/>
      </w:r>
      <w:r>
        <w:rPr>
          <w:rStyle w:val="7"/>
          <w:rFonts w:hint="eastAsia" w:ascii="宋体" w:hAnsi="宋体" w:eastAsia="宋体" w:cs="宋体"/>
          <w:color w:val="333333"/>
          <w:sz w:val="24"/>
          <w:szCs w:val="24"/>
          <w:shd w:val="clear" w:color="auto" w:fill="FFFFFF"/>
          <w:lang w:eastAsia="zh-CN"/>
        </w:rPr>
        <w:t>http://www.caict.ac.cn/kxyj/qwfb/bps/201811/P020181101530141614382.pdf</w:t>
      </w:r>
      <w:r>
        <w:rPr>
          <w:rFonts w:hint="eastAsia" w:ascii="宋体" w:hAnsi="宋体" w:eastAsia="宋体" w:cs="宋体"/>
          <w:color w:val="333333"/>
          <w:sz w:val="24"/>
          <w:szCs w:val="24"/>
          <w:shd w:val="clear" w:color="auto" w:fill="FFFFFF"/>
          <w:lang w:eastAsia="zh-CN"/>
        </w:rPr>
        <w:fldChar w:fldCharType="end"/>
      </w:r>
    </w:p>
    <w:p>
      <w:pPr>
        <w:spacing w:line="360" w:lineRule="auto"/>
        <w:jc w:val="left"/>
        <w:rPr>
          <w:rFonts w:hint="eastAsia" w:ascii="宋体" w:hAnsi="宋体" w:eastAsia="宋体" w:cs="宋体"/>
          <w:color w:val="333333"/>
          <w:sz w:val="24"/>
          <w:szCs w:val="24"/>
          <w:shd w:val="clear" w:color="auto" w:fill="FFFFFF"/>
          <w:lang w:eastAsia="zh-CN"/>
        </w:rPr>
      </w:pPr>
    </w:p>
    <w:p>
      <w:pPr>
        <w:spacing w:line="360" w:lineRule="auto"/>
        <w:ind w:firstLine="480" w:firstLineChars="200"/>
        <w:jc w:val="left"/>
        <w:rPr>
          <w:rFonts w:hint="eastAsia" w:ascii="宋体" w:hAnsi="宋体" w:eastAsia="宋体" w:cs="宋体"/>
          <w:color w:val="333333"/>
          <w:sz w:val="24"/>
          <w:szCs w:val="24"/>
          <w:shd w:val="clear" w:color="auto" w:fill="FFFFFF"/>
          <w:lang w:eastAsia="zh-CN"/>
        </w:rPr>
      </w:pPr>
    </w:p>
    <w:p>
      <w:pPr>
        <w:spacing w:line="360" w:lineRule="auto"/>
        <w:jc w:val="left"/>
        <w:rPr>
          <w:rFonts w:hint="eastAsia" w:ascii="宋体" w:hAnsi="宋体" w:eastAsia="宋体" w:cs="宋体"/>
          <w:color w:val="333333"/>
          <w:sz w:val="24"/>
          <w:szCs w:val="24"/>
          <w:shd w:val="clear" w:color="auto" w:fill="FFFFFF"/>
          <w:lang w:eastAsia="zh-CN"/>
        </w:rPr>
      </w:pPr>
    </w:p>
    <w:p>
      <w:pPr>
        <w:jc w:val="left"/>
        <w:rPr>
          <w:rFonts w:hint="eastAsia"/>
          <w:color w:val="333333"/>
          <w:sz w:val="24"/>
          <w:szCs w:val="24"/>
          <w:shd w:val="clear" w:color="auto" w:fill="FFFFFF"/>
        </w:rPr>
      </w:pPr>
    </w:p>
    <w:p>
      <w:pPr>
        <w:rPr>
          <w:rFonts w:hint="eastAsia"/>
          <w:color w:val="333333"/>
          <w:sz w:val="24"/>
          <w:szCs w:val="24"/>
          <w:shd w:val="clear" w:color="auto" w:fill="FFFFFF"/>
        </w:rPr>
      </w:pPr>
    </w:p>
    <w:sectPr>
      <w:pgSz w:w="11906" w:h="16838"/>
      <w:pgMar w:top="1440" w:right="1274" w:bottom="99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F95E29"/>
    <w:rsid w:val="0722215A"/>
    <w:rsid w:val="09452F31"/>
    <w:rsid w:val="167C320F"/>
    <w:rsid w:val="263A4A21"/>
    <w:rsid w:val="2C39243E"/>
    <w:rsid w:val="66D11837"/>
    <w:rsid w:val="71287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10"/>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4">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5">
    <w:name w:val="Strong"/>
    <w:qFormat/>
    <w:uiPriority w:val="22"/>
    <w:rPr>
      <w:b/>
      <w:bCs/>
    </w:rPr>
  </w:style>
  <w:style w:type="character" w:styleId="6">
    <w:name w:val="FollowedHyperlink"/>
    <w:basedOn w:val="4"/>
    <w:semiHidden/>
    <w:unhideWhenUsed/>
    <w:uiPriority w:val="99"/>
    <w:rPr>
      <w:color w:val="954F72" w:themeColor="followedHyperlink"/>
      <w:u w:val="single"/>
      <w14:textFill>
        <w14:solidFill>
          <w14:schemeClr w14:val="folHlink"/>
        </w14:solidFill>
      </w14:textFill>
    </w:rPr>
  </w:style>
  <w:style w:type="character" w:styleId="7">
    <w:name w:val="Hyperlink"/>
    <w:basedOn w:val="4"/>
    <w:unhideWhenUsed/>
    <w:uiPriority w:val="99"/>
    <w:rPr>
      <w:color w:val="0563C1" w:themeColor="hyperlink"/>
      <w:u w:val="single"/>
      <w14:textFill>
        <w14:solidFill>
          <w14:schemeClr w14:val="hlink"/>
        </w14:solidFill>
      </w14:textFill>
    </w:rPr>
  </w:style>
  <w:style w:type="character" w:customStyle="1" w:styleId="9">
    <w:name w:val="Unresolved Mention"/>
    <w:basedOn w:val="4"/>
    <w:semiHidden/>
    <w:unhideWhenUsed/>
    <w:uiPriority w:val="99"/>
    <w:rPr>
      <w:color w:val="808080"/>
      <w:shd w:val="clear" w:color="auto" w:fill="E6E6E6"/>
    </w:rPr>
  </w:style>
  <w:style w:type="character" w:customStyle="1" w:styleId="10">
    <w:name w:val="标题 1 字符"/>
    <w:basedOn w:val="4"/>
    <w:link w:val="2"/>
    <w:uiPriority w:val="9"/>
    <w:rPr>
      <w:rFonts w:ascii="宋体" w:hAnsi="宋体" w:eastAsia="宋体" w:cs="宋体"/>
      <w:b/>
      <w:bCs/>
      <w:kern w:val="36"/>
      <w:sz w:val="48"/>
      <w:szCs w:val="48"/>
    </w:rPr>
  </w:style>
  <w:style w:type="paragraph" w:customStyle="1" w:styleId="11">
    <w:name w:val="p0"/>
    <w:basedOn w:val="1"/>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131</Words>
  <Characters>749</Characters>
  <Lines>6</Lines>
  <Paragraphs>1</Paragraphs>
  <TotalTime>0</TotalTime>
  <ScaleCrop>false</ScaleCrop>
  <LinksUpToDate>false</LinksUpToDate>
  <CharactersWithSpaces>879</CharactersWithSpaces>
  <Application>WPS Office_10.1.0.7669_F1E327BC-269C-435d-A152-05C5408002CA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2018-05-21T10:52:00Z</dcterms:created>
  <dc:creator>xbany</dc:creator>
  <cp:lastModifiedBy>余祖舜律师｜深圳瀛尊</cp:lastModifiedBy>
  <dcterms:modified xsi:type="dcterms:W3CDTF">2018-12-16T09:19:59Z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2052-10.1.0.7669</vt:lpwstr>
  </property>
</Properties>
</file>